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6412" w14:textId="19E4A7E6" w:rsidR="00E94A5F" w:rsidRPr="00236948" w:rsidRDefault="00363D40" w:rsidP="00B134D0">
      <w:pPr>
        <w:pStyle w:val="Heading2"/>
        <w:numPr>
          <w:ilvl w:val="0"/>
          <w:numId w:val="0"/>
        </w:numPr>
        <w:ind w:left="851" w:hanging="851"/>
        <w:rPr>
          <w:lang w:val="en-GB"/>
        </w:rPr>
      </w:pPr>
      <w:r>
        <w:rPr>
          <w:lang w:val="en-GB"/>
        </w:rPr>
        <w:t>Multicurrency invoicing (invoice not EUR – VAT in EUR)</w:t>
      </w:r>
    </w:p>
    <w:p w14:paraId="0ADA06AC" w14:textId="3173D480" w:rsidR="00E94A5F" w:rsidRPr="00236948" w:rsidRDefault="00E94A5F" w:rsidP="00E94A5F">
      <w:pPr>
        <w:pStyle w:val="NoSpacingChar"/>
        <w:ind w:left="360"/>
        <w:rPr>
          <w:rFonts w:ascii="Verdana" w:hAnsi="Verdana"/>
          <w:bCs/>
          <w:lang w:val="en-GB" w:eastAsia="nl-BE"/>
        </w:rPr>
      </w:pPr>
    </w:p>
    <w:p w14:paraId="14009A6D" w14:textId="565D5D9B" w:rsidR="003C36DF" w:rsidRPr="00236948" w:rsidRDefault="003246F5" w:rsidP="003C36DF">
      <w:pPr>
        <w:rPr>
          <w:lang w:eastAsia="nl-BE"/>
        </w:rPr>
      </w:pPr>
      <w:r w:rsidRPr="0023694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6311465" wp14:editId="3792DB01">
            <wp:simplePos x="0" y="0"/>
            <wp:positionH relativeFrom="column">
              <wp:posOffset>23495</wp:posOffset>
            </wp:positionH>
            <wp:positionV relativeFrom="paragraph">
              <wp:posOffset>20320</wp:posOffset>
            </wp:positionV>
            <wp:extent cx="719455" cy="719455"/>
            <wp:effectExtent l="0" t="0" r="4445" b="4445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nvoice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6DF" w:rsidRPr="00236948">
        <w:rPr>
          <w:noProof/>
          <w:lang w:eastAsia="nl-BE"/>
        </w:rPr>
        <w:t xml:space="preserve">This </w:t>
      </w:r>
      <w:r w:rsidR="0078051C" w:rsidRPr="00236948">
        <w:rPr>
          <w:noProof/>
          <w:lang w:eastAsia="nl-BE"/>
        </w:rPr>
        <w:t xml:space="preserve">scenario </w:t>
      </w:r>
      <w:r w:rsidR="003D6E88" w:rsidRPr="00236948">
        <w:rPr>
          <w:noProof/>
          <w:lang w:eastAsia="nl-BE"/>
        </w:rPr>
        <w:t xml:space="preserve">describes the </w:t>
      </w:r>
      <w:r w:rsidR="00B41941">
        <w:rPr>
          <w:noProof/>
          <w:lang w:eastAsia="nl-BE"/>
        </w:rPr>
        <w:t>billing in a non-EUR currency</w:t>
      </w:r>
      <w:r w:rsidR="00680B81">
        <w:rPr>
          <w:noProof/>
          <w:lang w:eastAsia="nl-BE"/>
        </w:rPr>
        <w:t xml:space="preserve"> with vat expressing the vat both in the invoicing currency and </w:t>
      </w:r>
      <w:r w:rsidR="0063783D">
        <w:rPr>
          <w:noProof/>
          <w:lang w:eastAsia="nl-BE"/>
        </w:rPr>
        <w:t xml:space="preserve">at the same time in the accountable currency. This scenario has been changed </w:t>
      </w:r>
      <w:r w:rsidR="00075772">
        <w:rPr>
          <w:noProof/>
          <w:lang w:eastAsia="nl-BE"/>
        </w:rPr>
        <w:t>due to recommendations</w:t>
      </w:r>
      <w:r w:rsidR="008A799B">
        <w:rPr>
          <w:noProof/>
          <w:lang w:eastAsia="nl-BE"/>
        </w:rPr>
        <w:t xml:space="preserve"> </w:t>
      </w:r>
      <w:r w:rsidR="00075772">
        <w:rPr>
          <w:noProof/>
          <w:lang w:eastAsia="nl-BE"/>
        </w:rPr>
        <w:t>in the EN16931 (European Norm)</w:t>
      </w:r>
      <w:r w:rsidR="008A799B">
        <w:rPr>
          <w:noProof/>
          <w:lang w:eastAsia="nl-BE"/>
        </w:rPr>
        <w:t>. This has implications on how business terms are mapped</w:t>
      </w:r>
      <w:r w:rsidR="00793012">
        <w:rPr>
          <w:noProof/>
          <w:lang w:eastAsia="nl-BE"/>
        </w:rPr>
        <w:t xml:space="preserve"> to syntaxes (e.g. PEPPOL BIS v3). </w:t>
      </w:r>
    </w:p>
    <w:p w14:paraId="217F73E8" w14:textId="2BE8DE50" w:rsidR="00E94A5F" w:rsidRPr="00236948" w:rsidRDefault="004A2480" w:rsidP="003B2B08">
      <w:pPr>
        <w:pStyle w:val="Heading4"/>
        <w:rPr>
          <w:lang w:val="en-GB"/>
        </w:rPr>
      </w:pPr>
      <w:r w:rsidRPr="00236948">
        <w:rPr>
          <w:lang w:val="en-GB"/>
        </w:rPr>
        <w:t>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65"/>
      </w:tblGrid>
      <w:tr w:rsidR="00E94A5F" w:rsidRPr="00236948" w14:paraId="1E2726BD" w14:textId="77777777" w:rsidTr="006E31E0">
        <w:tc>
          <w:tcPr>
            <w:tcW w:w="1795" w:type="dxa"/>
          </w:tcPr>
          <w:p w14:paraId="318E50E4" w14:textId="77777777" w:rsidR="00E94A5F" w:rsidRPr="00236948" w:rsidRDefault="00E94A5F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Scenario</w:t>
            </w:r>
          </w:p>
        </w:tc>
        <w:tc>
          <w:tcPr>
            <w:tcW w:w="7265" w:type="dxa"/>
          </w:tcPr>
          <w:p w14:paraId="3BC20ADA" w14:textId="24C8B854" w:rsidR="00E94A5F" w:rsidRPr="00236948" w:rsidRDefault="00314959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0</w:t>
            </w:r>
            <w:r w:rsidR="00F77FA1"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6</w:t>
            </w:r>
          </w:p>
        </w:tc>
      </w:tr>
      <w:tr w:rsidR="00E94A5F" w:rsidRPr="00236948" w14:paraId="0EA9C5F8" w14:textId="77777777" w:rsidTr="006E31E0">
        <w:tc>
          <w:tcPr>
            <w:tcW w:w="1795" w:type="dxa"/>
          </w:tcPr>
          <w:p w14:paraId="5F05D675" w14:textId="31E00265" w:rsidR="00E94A5F" w:rsidRPr="00236948" w:rsidRDefault="00E94A5F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Na</w:t>
            </w:r>
            <w:r w:rsidR="00C4174D"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me</w:t>
            </w:r>
          </w:p>
        </w:tc>
        <w:tc>
          <w:tcPr>
            <w:tcW w:w="7265" w:type="dxa"/>
          </w:tcPr>
          <w:p w14:paraId="7E013060" w14:textId="4288BDB3" w:rsidR="00E94A5F" w:rsidRPr="00236948" w:rsidRDefault="00F77FA1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Standard exchange</w:t>
            </w:r>
            <w:r w:rsidR="003012DA"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(barter)</w:t>
            </w:r>
          </w:p>
        </w:tc>
      </w:tr>
      <w:tr w:rsidR="00E94A5F" w:rsidRPr="00236948" w14:paraId="17644D63" w14:textId="77777777" w:rsidTr="006E31E0">
        <w:tc>
          <w:tcPr>
            <w:tcW w:w="1795" w:type="dxa"/>
          </w:tcPr>
          <w:p w14:paraId="221C6E92" w14:textId="240C7136" w:rsidR="00E94A5F" w:rsidRPr="00236948" w:rsidRDefault="00C4174D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Key elements</w:t>
            </w:r>
          </w:p>
        </w:tc>
        <w:tc>
          <w:tcPr>
            <w:tcW w:w="7265" w:type="dxa"/>
          </w:tcPr>
          <w:p w14:paraId="73DADAD5" w14:textId="19D7EE91" w:rsidR="009E1217" w:rsidRPr="00236948" w:rsidRDefault="00314959" w:rsidP="00DE2077">
            <w:pPr>
              <w:pStyle w:val="NoSpacingChar"/>
              <w:numPr>
                <w:ilvl w:val="0"/>
                <w:numId w:val="12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Basic elements (see minimal invoice)</w:t>
            </w:r>
          </w:p>
          <w:p w14:paraId="796604E2" w14:textId="5A3326A2" w:rsidR="00DE2077" w:rsidRPr="00236948" w:rsidRDefault="00573628" w:rsidP="00895A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  <w:t xml:space="preserve">Invoice </w:t>
            </w:r>
            <w:r w:rsidR="00414B41"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  <w:t>amounts are expressed in non-EUR currency (USD)</w:t>
            </w:r>
          </w:p>
          <w:p w14:paraId="59D659CC" w14:textId="09E3DD90" w:rsidR="00DE2077" w:rsidRPr="00236948" w:rsidRDefault="00414B41" w:rsidP="00DE20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  <w:t xml:space="preserve">Vat amounts are expressed both in </w:t>
            </w:r>
            <w:r w:rsidR="0041569C"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  <w:t>billing and accounting currency</w:t>
            </w:r>
          </w:p>
          <w:p w14:paraId="644A7480" w14:textId="6ED8F9D3" w:rsidR="00D25010" w:rsidRPr="00864650" w:rsidRDefault="00AC767D" w:rsidP="0086465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sz w:val="18"/>
                <w:szCs w:val="18"/>
                <w:lang w:val="en-GB" w:eastAsia="nl-BE"/>
              </w:rPr>
              <w:t xml:space="preserve">VAT processing </w:t>
            </w:r>
            <w:r w:rsidR="00FF5BB1" w:rsidRPr="00236948">
              <w:rPr>
                <w:rFonts w:ascii="Verdana" w:hAnsi="Verdana"/>
                <w:sz w:val="18"/>
                <w:szCs w:val="18"/>
                <w:lang w:val="en-GB" w:eastAsia="nl-BE"/>
              </w:rPr>
              <w:t>according to VAT regulation</w:t>
            </w:r>
            <w:r w:rsidR="00D25010" w:rsidRPr="00236948">
              <w:rPr>
                <w:rFonts w:ascii="Verdana" w:hAnsi="Verdana"/>
                <w:sz w:val="18"/>
                <w:szCs w:val="18"/>
                <w:lang w:val="en-GB" w:eastAsia="nl-BE"/>
              </w:rPr>
              <w:t>s</w:t>
            </w:r>
          </w:p>
        </w:tc>
      </w:tr>
      <w:tr w:rsidR="00E94A5F" w:rsidRPr="00236948" w14:paraId="506C4431" w14:textId="77777777" w:rsidTr="006E31E0">
        <w:tc>
          <w:tcPr>
            <w:tcW w:w="1795" w:type="dxa"/>
          </w:tcPr>
          <w:p w14:paraId="7DF97E3E" w14:textId="372AE410" w:rsidR="00E94A5F" w:rsidRPr="00236948" w:rsidRDefault="00FB7AD3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Detailed examples</w:t>
            </w:r>
            <w:r w:rsidR="00E94A5F"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</w:t>
            </w:r>
          </w:p>
        </w:tc>
        <w:tc>
          <w:tcPr>
            <w:tcW w:w="7265" w:type="dxa"/>
          </w:tcPr>
          <w:p w14:paraId="163565B3" w14:textId="51340CE8" w:rsidR="004325A8" w:rsidRDefault="009A40AE" w:rsidP="004325A8">
            <w:pPr>
              <w:pStyle w:val="NoSpacingChar"/>
              <w:numPr>
                <w:ilvl w:val="0"/>
                <w:numId w:val="40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1 </w:t>
            </w:r>
            <w:r w:rsidR="004325A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v</w:t>
            </w:r>
            <w: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at rate:</w:t>
            </w:r>
          </w:p>
          <w:p w14:paraId="2596C28B" w14:textId="69BD4D3A" w:rsidR="004325A8" w:rsidRPr="004325A8" w:rsidRDefault="00FB7AD3" w:rsidP="004325A8">
            <w:pPr>
              <w:pStyle w:val="NoSpacingChar"/>
              <w:numPr>
                <w:ilvl w:val="1"/>
                <w:numId w:val="40"/>
              </w:numPr>
              <w:rPr>
                <w:rStyle w:val="Hyperlink"/>
                <w:rFonts w:ascii="Verdana" w:hAnsi="Verdana"/>
                <w:bCs/>
                <w:color w:val="auto"/>
                <w:sz w:val="18"/>
                <w:szCs w:val="18"/>
                <w:u w:val="none"/>
                <w:lang w:val="en-GB" w:eastAsia="nl-BE"/>
              </w:rPr>
            </w:pPr>
            <w:r w:rsidRPr="004325A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Human readable </w:t>
            </w:r>
            <w:r w:rsidR="00D20836" w:rsidRPr="004325A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pdf-invoice</w:t>
            </w:r>
            <w:r w:rsidR="00E94A5F" w:rsidRPr="004325A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: </w:t>
            </w:r>
            <w:hyperlink r:id="rId13" w:history="1">
              <w:r w:rsidR="004325A8">
                <w:rPr>
                  <w:rStyle w:val="Hyperlink"/>
                  <w:rFonts w:eastAsiaTheme="majorEastAsia"/>
                  <w:lang w:val="en-GB"/>
                </w:rPr>
                <w:t>TESTca</w:t>
              </w:r>
              <w:r w:rsidR="004325A8">
                <w:rPr>
                  <w:rStyle w:val="Hyperlink"/>
                  <w:rFonts w:eastAsiaTheme="majorEastAsia"/>
                  <w:lang w:val="en-GB"/>
                </w:rPr>
                <w:t>s</w:t>
              </w:r>
              <w:r w:rsidR="004325A8">
                <w:rPr>
                  <w:rStyle w:val="Hyperlink"/>
                  <w:rFonts w:eastAsiaTheme="majorEastAsia"/>
                  <w:lang w:val="en-GB"/>
                </w:rPr>
                <w:t>e10</w:t>
              </w:r>
            </w:hyperlink>
          </w:p>
          <w:p w14:paraId="02C573CF" w14:textId="203B6DC3" w:rsidR="001F6D37" w:rsidRPr="004325A8" w:rsidRDefault="004325A8" w:rsidP="004325A8">
            <w:pPr>
              <w:pStyle w:val="NoSpacingChar"/>
              <w:numPr>
                <w:ilvl w:val="1"/>
                <w:numId w:val="40"/>
              </w:numPr>
              <w:rPr>
                <w:rStyle w:val="Hyperlink"/>
                <w:rFonts w:ascii="Verdana" w:hAnsi="Verdana"/>
                <w:bCs/>
                <w:color w:val="auto"/>
                <w:sz w:val="18"/>
                <w:szCs w:val="18"/>
                <w:u w:val="none"/>
                <w:lang w:val="en-GB" w:eastAsia="nl-BE"/>
              </w:rPr>
            </w:pPr>
            <w:r w:rsidRPr="004325A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xm</w:t>
            </w:r>
            <w:r w:rsidR="00E94A5F" w:rsidRPr="004325A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l-</w:t>
            </w:r>
            <w:r w:rsidR="00D20836" w:rsidRPr="004325A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invoice</w:t>
            </w:r>
            <w:r w:rsidR="00E94A5F" w:rsidRPr="004325A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: </w:t>
            </w:r>
            <w:hyperlink r:id="rId14" w:history="1">
              <w:r>
                <w:rPr>
                  <w:rStyle w:val="Hyperlink"/>
                  <w:rFonts w:eastAsiaTheme="majorEastAsia"/>
                  <w:lang w:val="en-GB" w:eastAsia="nl-BE"/>
                </w:rPr>
                <w:t>TESTca</w:t>
              </w:r>
              <w:r>
                <w:rPr>
                  <w:rStyle w:val="Hyperlink"/>
                  <w:rFonts w:eastAsiaTheme="majorEastAsia"/>
                  <w:lang w:val="en-GB" w:eastAsia="nl-BE"/>
                </w:rPr>
                <w:t>s</w:t>
              </w:r>
              <w:r>
                <w:rPr>
                  <w:rStyle w:val="Hyperlink"/>
                  <w:rFonts w:eastAsiaTheme="majorEastAsia"/>
                  <w:lang w:val="en-GB" w:eastAsia="nl-BE"/>
                </w:rPr>
                <w:t>e10</w:t>
              </w:r>
            </w:hyperlink>
          </w:p>
          <w:p w14:paraId="1F609FD3" w14:textId="77777777" w:rsidR="004325A8" w:rsidRPr="004325A8" w:rsidRDefault="004325A8" w:rsidP="004325A8">
            <w:pPr>
              <w:pStyle w:val="NoSpacingChar"/>
              <w:numPr>
                <w:ilvl w:val="0"/>
                <w:numId w:val="40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4325A8">
              <w:rPr>
                <w:rFonts w:ascii="Verdana" w:eastAsiaTheme="majorEastAsia" w:hAnsi="Verdana"/>
                <w:sz w:val="18"/>
                <w:szCs w:val="18"/>
                <w:lang w:val="en-GB" w:eastAsia="nl-BE"/>
              </w:rPr>
              <w:t>2</w:t>
            </w:r>
            <w:r w:rsidRPr="004325A8">
              <w:rPr>
                <w:rFonts w:ascii="Verdana" w:eastAsiaTheme="majorEastAsia" w:hAnsi="Verdana"/>
                <w:sz w:val="18"/>
                <w:szCs w:val="18"/>
              </w:rPr>
              <w:t xml:space="preserve"> vat rates:</w:t>
            </w:r>
          </w:p>
          <w:p w14:paraId="35EB8160" w14:textId="5F4FE94F" w:rsidR="004325A8" w:rsidRPr="004325A8" w:rsidRDefault="004325A8" w:rsidP="004325A8">
            <w:pPr>
              <w:pStyle w:val="NoSpacingChar"/>
              <w:numPr>
                <w:ilvl w:val="1"/>
                <w:numId w:val="40"/>
              </w:numPr>
              <w:rPr>
                <w:rStyle w:val="Hyperlink"/>
                <w:rFonts w:ascii="Verdana" w:hAnsi="Verdana"/>
                <w:bCs/>
                <w:color w:val="auto"/>
                <w:sz w:val="18"/>
                <w:szCs w:val="18"/>
                <w:u w:val="none"/>
                <w:lang w:val="en-GB" w:eastAsia="nl-BE"/>
              </w:rPr>
            </w:pPr>
            <w:r w:rsidRPr="004325A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Human readable pdf-invoice: </w:t>
            </w:r>
            <w:hyperlink r:id="rId15" w:history="1">
              <w:r w:rsidR="00D66C9F">
                <w:rPr>
                  <w:rStyle w:val="Hyperlink"/>
                  <w:rFonts w:eastAsiaTheme="majorEastAsia"/>
                  <w:lang w:val="en-GB"/>
                </w:rPr>
                <w:t>TESTc</w:t>
              </w:r>
              <w:r w:rsidR="00D66C9F">
                <w:rPr>
                  <w:rStyle w:val="Hyperlink"/>
                  <w:rFonts w:eastAsiaTheme="majorEastAsia"/>
                  <w:lang w:val="en-GB"/>
                </w:rPr>
                <w:t>a</w:t>
              </w:r>
              <w:r w:rsidR="00D66C9F">
                <w:rPr>
                  <w:rStyle w:val="Hyperlink"/>
                  <w:rFonts w:eastAsiaTheme="majorEastAsia"/>
                  <w:lang w:val="en-GB"/>
                </w:rPr>
                <w:t>se11</w:t>
              </w:r>
            </w:hyperlink>
          </w:p>
          <w:p w14:paraId="5BF13ADE" w14:textId="715AC52D" w:rsidR="004325A8" w:rsidRPr="004325A8" w:rsidRDefault="004325A8" w:rsidP="004325A8">
            <w:pPr>
              <w:pStyle w:val="NoSpacingChar"/>
              <w:numPr>
                <w:ilvl w:val="1"/>
                <w:numId w:val="40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4325A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xml-invoice: </w:t>
            </w:r>
            <w:hyperlink r:id="rId16" w:history="1">
              <w:r w:rsidR="00D66C9F">
                <w:rPr>
                  <w:rStyle w:val="Hyperlink"/>
                  <w:rFonts w:eastAsiaTheme="majorEastAsia"/>
                  <w:lang w:val="en-GB" w:eastAsia="nl-BE"/>
                </w:rPr>
                <w:t>TESTc</w:t>
              </w:r>
              <w:r w:rsidR="00D66C9F">
                <w:rPr>
                  <w:rStyle w:val="Hyperlink"/>
                  <w:rFonts w:eastAsiaTheme="majorEastAsia"/>
                  <w:lang w:val="en-GB" w:eastAsia="nl-BE"/>
                </w:rPr>
                <w:t>a</w:t>
              </w:r>
              <w:r w:rsidR="00D66C9F">
                <w:rPr>
                  <w:rStyle w:val="Hyperlink"/>
                  <w:rFonts w:eastAsiaTheme="majorEastAsia"/>
                  <w:lang w:val="en-GB" w:eastAsia="nl-BE"/>
                </w:rPr>
                <w:t>se11</w:t>
              </w:r>
            </w:hyperlink>
          </w:p>
        </w:tc>
      </w:tr>
    </w:tbl>
    <w:p w14:paraId="5FD04A27" w14:textId="363D6C41" w:rsidR="00084856" w:rsidRPr="00236948" w:rsidRDefault="003012DA" w:rsidP="00084856">
      <w:pPr>
        <w:spacing w:before="240"/>
      </w:pPr>
      <w:bookmarkStart w:id="0" w:name="_Toc536546938"/>
      <w:r w:rsidRPr="00236948">
        <w:t>Detailed explanation</w:t>
      </w:r>
      <w:r w:rsidR="00944ACF" w:rsidRPr="00236948">
        <w:t xml:space="preserve"> on the subject</w:t>
      </w:r>
      <w:r w:rsidRPr="00236948">
        <w:t xml:space="preserve">: </w:t>
      </w:r>
      <w:hyperlink r:id="rId17" w:history="1">
        <w:r w:rsidR="00557082">
          <w:rPr>
            <w:rStyle w:val="Hyperlink"/>
          </w:rPr>
          <w:t>Multicurrency invoicing (invoice not EUR - VAT in EUR (NL))</w:t>
        </w:r>
      </w:hyperlink>
    </w:p>
    <w:p w14:paraId="6480FB11" w14:textId="01778903" w:rsidR="00E94A5F" w:rsidRPr="00236948" w:rsidRDefault="004A2480" w:rsidP="00E94A5F">
      <w:pPr>
        <w:pStyle w:val="Heading4"/>
        <w:rPr>
          <w:lang w:val="en-GB"/>
        </w:rPr>
      </w:pPr>
      <w:r w:rsidRPr="00236948">
        <w:rPr>
          <w:lang w:val="en-GB"/>
        </w:rPr>
        <w:t>Key topics</w:t>
      </w:r>
      <w:bookmarkEnd w:id="0"/>
    </w:p>
    <w:p w14:paraId="4CA40677" w14:textId="77777777" w:rsidR="00A36B00" w:rsidRPr="00A36B00" w:rsidRDefault="005D22CC" w:rsidP="00A36B00">
      <w:pPr>
        <w:pStyle w:val="ListParagraph"/>
        <w:numPr>
          <w:ilvl w:val="0"/>
          <w:numId w:val="41"/>
        </w:numPr>
        <w:rPr>
          <w:lang w:val="en-GB"/>
        </w:rPr>
      </w:pPr>
      <w:r w:rsidRPr="00B41941">
        <w:rPr>
          <w:lang w:val="en-GB"/>
        </w:rPr>
        <w:t>Arti</w:t>
      </w:r>
      <w:r w:rsidR="00D82C62" w:rsidRPr="00B41941">
        <w:rPr>
          <w:lang w:val="en-GB"/>
        </w:rPr>
        <w:t>cle</w:t>
      </w:r>
      <w:r w:rsidRPr="00B41941">
        <w:rPr>
          <w:lang w:val="en-GB"/>
        </w:rPr>
        <w:t xml:space="preserve"> 230 </w:t>
      </w:r>
      <w:r w:rsidR="00D82C62" w:rsidRPr="00B41941">
        <w:rPr>
          <w:lang w:val="en-GB"/>
        </w:rPr>
        <w:t xml:space="preserve">of the </w:t>
      </w:r>
      <w:r w:rsidRPr="00B41941">
        <w:rPr>
          <w:lang w:val="en-GB"/>
        </w:rPr>
        <w:t xml:space="preserve">EU Directive 2006/112/EC, </w:t>
      </w:r>
      <w:r w:rsidR="00D82C62" w:rsidRPr="00B41941">
        <w:rPr>
          <w:lang w:val="en-GB"/>
        </w:rPr>
        <w:t xml:space="preserve">changed by </w:t>
      </w:r>
      <w:r w:rsidRPr="00B41941">
        <w:rPr>
          <w:lang w:val="en-GB"/>
        </w:rPr>
        <w:t xml:space="preserve">2010/45/EU </w:t>
      </w:r>
      <w:r w:rsidR="001503ED" w:rsidRPr="00B41941">
        <w:rPr>
          <w:lang w:val="en-GB"/>
        </w:rPr>
        <w:t>is stipulating</w:t>
      </w:r>
      <w:r w:rsidRPr="00B41941">
        <w:rPr>
          <w:lang w:val="en-GB"/>
        </w:rPr>
        <w:t>:</w:t>
      </w:r>
      <w:r w:rsidR="00D82C62" w:rsidRPr="00B41941">
        <w:rPr>
          <w:lang w:val="en-GB"/>
        </w:rPr>
        <w:br/>
      </w:r>
      <w:r w:rsidR="00A64B51" w:rsidRPr="00B41941">
        <w:rPr>
          <w:i/>
          <w:lang w:val="en-GB"/>
        </w:rPr>
        <w:t>The amounts which appear on the invoice may be expressed in any currency, provided that the amount of</w:t>
      </w:r>
      <w:r w:rsidR="005E38C9" w:rsidRPr="00B41941">
        <w:rPr>
          <w:i/>
          <w:lang w:val="en-GB"/>
        </w:rPr>
        <w:t xml:space="preserve"> </w:t>
      </w:r>
      <w:r w:rsidR="00A64B51" w:rsidRPr="00B41941">
        <w:rPr>
          <w:i/>
          <w:lang w:val="en-GB"/>
        </w:rPr>
        <w:t>VAT payable or to be adjusted is expressed in the</w:t>
      </w:r>
      <w:r w:rsidR="005E38C9" w:rsidRPr="00B41941">
        <w:rPr>
          <w:i/>
          <w:lang w:val="en-GB"/>
        </w:rPr>
        <w:t xml:space="preserve"> </w:t>
      </w:r>
      <w:r w:rsidR="00A64B51" w:rsidRPr="00B41941">
        <w:rPr>
          <w:i/>
          <w:lang w:val="en-GB"/>
        </w:rPr>
        <w:t>national currency of the Member State, using the</w:t>
      </w:r>
      <w:r w:rsidR="005E38C9" w:rsidRPr="00B41941">
        <w:rPr>
          <w:i/>
          <w:lang w:val="en-GB"/>
        </w:rPr>
        <w:t xml:space="preserve"> </w:t>
      </w:r>
      <w:r w:rsidR="00A64B51" w:rsidRPr="00B41941">
        <w:rPr>
          <w:i/>
          <w:lang w:val="en-GB"/>
        </w:rPr>
        <w:t>conversion rate mechanism provided for in Article 91</w:t>
      </w:r>
      <w:r w:rsidR="00A64B51" w:rsidRPr="00A36B00">
        <w:rPr>
          <w:i/>
          <w:lang w:val="en-GB"/>
        </w:rPr>
        <w:t>.</w:t>
      </w:r>
    </w:p>
    <w:p w14:paraId="5F941D32" w14:textId="1F41B653" w:rsidR="001066D2" w:rsidRPr="00A36B00" w:rsidRDefault="00A36B00" w:rsidP="00A36B00">
      <w:pPr>
        <w:pStyle w:val="ListParagraph"/>
        <w:numPr>
          <w:ilvl w:val="0"/>
          <w:numId w:val="41"/>
        </w:numPr>
        <w:rPr>
          <w:lang w:val="en-GB"/>
        </w:rPr>
      </w:pPr>
      <w:r>
        <w:rPr>
          <w:lang w:val="en-GB"/>
        </w:rPr>
        <w:t xml:space="preserve">Notice </w:t>
      </w:r>
      <w:r w:rsidR="00B14FB7">
        <w:rPr>
          <w:lang w:val="en-GB"/>
        </w:rPr>
        <w:t xml:space="preserve">vat ruling KB/AR 1 art. 5 </w:t>
      </w:r>
      <w:r w:rsidR="00676613">
        <w:rPr>
          <w:lang w:val="en-GB"/>
        </w:rPr>
        <w:t>§1 9° on mentioning total vat amount in national currency</w:t>
      </w:r>
      <w:r w:rsidR="001066D2" w:rsidRPr="00A36B00">
        <w:rPr>
          <w:lang w:val="en-GB"/>
        </w:rPr>
        <w:br w:type="page"/>
      </w:r>
    </w:p>
    <w:p w14:paraId="5134C9A2" w14:textId="53843122" w:rsidR="00322341" w:rsidRDefault="00E83940" w:rsidP="00322341">
      <w:pPr>
        <w:pStyle w:val="Heading4"/>
        <w:rPr>
          <w:lang w:val="en-GB"/>
        </w:rPr>
      </w:pPr>
      <w:r w:rsidRPr="00236948">
        <w:rPr>
          <w:lang w:val="en-GB"/>
        </w:rPr>
        <w:lastRenderedPageBreak/>
        <w:t xml:space="preserve">Additional </w:t>
      </w:r>
      <w:r w:rsidR="00C64620" w:rsidRPr="00236948">
        <w:rPr>
          <w:lang w:val="en-GB"/>
        </w:rPr>
        <w:t>i</w:t>
      </w:r>
      <w:r w:rsidR="00B26178" w:rsidRPr="00236948">
        <w:rPr>
          <w:lang w:val="en-GB"/>
        </w:rPr>
        <w:t>nvoice elements</w:t>
      </w:r>
      <w:r w:rsidR="00842EAA" w:rsidRPr="00236948">
        <w:rPr>
          <w:lang w:val="en-GB"/>
        </w:rPr>
        <w:t xml:space="preserve"> concerned</w:t>
      </w:r>
    </w:p>
    <w:p w14:paraId="115DC8A2" w14:textId="77777777" w:rsidR="001066D2" w:rsidRPr="001066D2" w:rsidRDefault="001066D2" w:rsidP="001066D2">
      <w:pPr>
        <w:rPr>
          <w:lang w:eastAsia="en-US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575"/>
        <w:gridCol w:w="1113"/>
        <w:gridCol w:w="749"/>
        <w:gridCol w:w="1177"/>
        <w:gridCol w:w="1420"/>
        <w:gridCol w:w="1146"/>
        <w:gridCol w:w="2594"/>
      </w:tblGrid>
      <w:tr w:rsidR="00CE422C" w:rsidRPr="000333B4" w14:paraId="353ACA5D" w14:textId="77777777" w:rsidTr="00DB7A02">
        <w:tc>
          <w:tcPr>
            <w:tcW w:w="2575" w:type="dxa"/>
            <w:shd w:val="clear" w:color="auto" w:fill="BDD6EE" w:themeFill="accent1" w:themeFillTint="66"/>
          </w:tcPr>
          <w:p w14:paraId="72306EDE" w14:textId="77777777" w:rsidR="00EA19F7" w:rsidRPr="000333B4" w:rsidRDefault="00EA19F7" w:rsidP="00DF2AA7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Business term EN 16931-1</w:t>
            </w:r>
          </w:p>
        </w:tc>
        <w:tc>
          <w:tcPr>
            <w:tcW w:w="1113" w:type="dxa"/>
            <w:shd w:val="clear" w:color="auto" w:fill="BDD6EE" w:themeFill="accent1" w:themeFillTint="66"/>
          </w:tcPr>
          <w:p w14:paraId="471A3109" w14:textId="77777777" w:rsidR="00EA19F7" w:rsidRPr="000333B4" w:rsidRDefault="00EA19F7" w:rsidP="00DF2AA7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ID EN 16931-1</w:t>
            </w:r>
          </w:p>
        </w:tc>
        <w:tc>
          <w:tcPr>
            <w:tcW w:w="749" w:type="dxa"/>
            <w:shd w:val="clear" w:color="auto" w:fill="BDD6EE" w:themeFill="accent1" w:themeFillTint="66"/>
          </w:tcPr>
          <w:p w14:paraId="52D7FFCF" w14:textId="77777777" w:rsidR="00EA19F7" w:rsidRPr="000333B4" w:rsidRDefault="00EA19F7" w:rsidP="00DF2AA7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Cardi-</w:t>
            </w:r>
            <w:proofErr w:type="spellStart"/>
            <w:r w:rsidRPr="000333B4">
              <w:rPr>
                <w:lang w:val="en-GB"/>
              </w:rPr>
              <w:t>nality</w:t>
            </w:r>
            <w:proofErr w:type="spellEnd"/>
          </w:p>
          <w:p w14:paraId="437D845C" w14:textId="77777777" w:rsidR="00EA19F7" w:rsidRPr="000333B4" w:rsidRDefault="00EA19F7" w:rsidP="00DF2AA7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EN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 w14:paraId="414BA74C" w14:textId="77777777" w:rsidR="00EA19F7" w:rsidRPr="000333B4" w:rsidRDefault="00EA19F7" w:rsidP="00DF2AA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Cardinality PEPPOL BIS v3</w:t>
            </w:r>
          </w:p>
        </w:tc>
        <w:tc>
          <w:tcPr>
            <w:tcW w:w="1420" w:type="dxa"/>
            <w:shd w:val="clear" w:color="auto" w:fill="BDD6EE" w:themeFill="accent1" w:themeFillTint="66"/>
          </w:tcPr>
          <w:p w14:paraId="0E5DDB57" w14:textId="77777777" w:rsidR="00EA19F7" w:rsidRPr="000333B4" w:rsidRDefault="00EA19F7" w:rsidP="00DF2AA7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Data type</w:t>
            </w:r>
          </w:p>
        </w:tc>
        <w:tc>
          <w:tcPr>
            <w:tcW w:w="1146" w:type="dxa"/>
            <w:shd w:val="clear" w:color="auto" w:fill="BDD6EE" w:themeFill="accent1" w:themeFillTint="66"/>
          </w:tcPr>
          <w:p w14:paraId="41B44C15" w14:textId="77777777" w:rsidR="00EA19F7" w:rsidRPr="000333B4" w:rsidRDefault="00EA19F7" w:rsidP="00DF2AA7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Rule# mapping KB 1 art. 5</w:t>
            </w:r>
          </w:p>
        </w:tc>
        <w:tc>
          <w:tcPr>
            <w:tcW w:w="2594" w:type="dxa"/>
            <w:shd w:val="clear" w:color="auto" w:fill="BDD6EE" w:themeFill="accent1" w:themeFillTint="66"/>
          </w:tcPr>
          <w:p w14:paraId="3CD7934D" w14:textId="77777777" w:rsidR="00EA19F7" w:rsidRPr="000333B4" w:rsidRDefault="00EA19F7" w:rsidP="00DF2AA7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PEPPOL BIS v3 element</w:t>
            </w:r>
          </w:p>
        </w:tc>
      </w:tr>
      <w:tr w:rsidR="00863D8E" w:rsidRPr="000333B4" w14:paraId="6A4643DE" w14:textId="77777777" w:rsidTr="00DB7A02">
        <w:tc>
          <w:tcPr>
            <w:tcW w:w="2575" w:type="dxa"/>
          </w:tcPr>
          <w:p w14:paraId="5274E494" w14:textId="3D305392" w:rsidR="00863D8E" w:rsidRDefault="005547FE" w:rsidP="00DF2AA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VAT accounting currency code</w:t>
            </w:r>
          </w:p>
        </w:tc>
        <w:tc>
          <w:tcPr>
            <w:tcW w:w="1113" w:type="dxa"/>
          </w:tcPr>
          <w:p w14:paraId="6971E7F7" w14:textId="4587DB72" w:rsidR="00863D8E" w:rsidRPr="000333B4" w:rsidRDefault="005547FE" w:rsidP="00DF2AA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BT-6</w:t>
            </w:r>
          </w:p>
        </w:tc>
        <w:tc>
          <w:tcPr>
            <w:tcW w:w="749" w:type="dxa"/>
          </w:tcPr>
          <w:p w14:paraId="51DCE5A4" w14:textId="30045186" w:rsidR="00863D8E" w:rsidRDefault="005547FE" w:rsidP="00DF2AA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177" w:type="dxa"/>
          </w:tcPr>
          <w:p w14:paraId="2262A889" w14:textId="314B285A" w:rsidR="00863D8E" w:rsidRDefault="005547FE" w:rsidP="00DF2AA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0..1</w:t>
            </w:r>
          </w:p>
        </w:tc>
        <w:tc>
          <w:tcPr>
            <w:tcW w:w="1420" w:type="dxa"/>
          </w:tcPr>
          <w:p w14:paraId="3DE84F16" w14:textId="6D2BE116" w:rsidR="00863D8E" w:rsidRDefault="005547FE" w:rsidP="00DF2AA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Code</w:t>
            </w:r>
          </w:p>
        </w:tc>
        <w:tc>
          <w:tcPr>
            <w:tcW w:w="1146" w:type="dxa"/>
          </w:tcPr>
          <w:p w14:paraId="142EC521" w14:textId="3BD5C0EA" w:rsidR="00863D8E" w:rsidRPr="000333B4" w:rsidRDefault="00D87079" w:rsidP="00DF2AA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2594" w:type="dxa"/>
          </w:tcPr>
          <w:p w14:paraId="614D3710" w14:textId="142A7F62" w:rsidR="00863D8E" w:rsidRDefault="00B93F26" w:rsidP="00DF2AA7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TaxCurrencyCode</w:t>
            </w:r>
            <w:proofErr w:type="spellEnd"/>
          </w:p>
        </w:tc>
      </w:tr>
      <w:tr w:rsidR="00EA19F7" w:rsidRPr="000333B4" w14:paraId="23466E74" w14:textId="77777777" w:rsidTr="00DB7A02">
        <w:tc>
          <w:tcPr>
            <w:tcW w:w="2575" w:type="dxa"/>
          </w:tcPr>
          <w:p w14:paraId="2B722003" w14:textId="78266DBC" w:rsidR="00EA19F7" w:rsidRPr="000333B4" w:rsidRDefault="006D5FA6" w:rsidP="00DF2AA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Invoice total VAT amount in accounting currency</w:t>
            </w:r>
          </w:p>
        </w:tc>
        <w:tc>
          <w:tcPr>
            <w:tcW w:w="1113" w:type="dxa"/>
          </w:tcPr>
          <w:p w14:paraId="5442DED7" w14:textId="5BFF0C1F" w:rsidR="00EA19F7" w:rsidRPr="000333B4" w:rsidRDefault="00EA19F7" w:rsidP="00DF2AA7">
            <w:pPr>
              <w:pStyle w:val="ListParagraph"/>
              <w:ind w:left="0"/>
              <w:rPr>
                <w:lang w:val="en-GB"/>
              </w:rPr>
            </w:pPr>
            <w:r w:rsidRPr="000333B4">
              <w:rPr>
                <w:lang w:val="en-GB"/>
              </w:rPr>
              <w:t>BT-1</w:t>
            </w:r>
            <w:r w:rsidR="009079F0">
              <w:rPr>
                <w:lang w:val="en-GB"/>
              </w:rPr>
              <w:t>11</w:t>
            </w:r>
          </w:p>
        </w:tc>
        <w:tc>
          <w:tcPr>
            <w:tcW w:w="749" w:type="dxa"/>
          </w:tcPr>
          <w:p w14:paraId="246BD073" w14:textId="1C6CDAD2" w:rsidR="00EA19F7" w:rsidRPr="000333B4" w:rsidRDefault="006D5FA6" w:rsidP="00DF2AA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EA19F7" w:rsidRPr="000333B4">
              <w:rPr>
                <w:lang w:val="en-GB"/>
              </w:rPr>
              <w:t>..1</w:t>
            </w:r>
          </w:p>
        </w:tc>
        <w:tc>
          <w:tcPr>
            <w:tcW w:w="1177" w:type="dxa"/>
          </w:tcPr>
          <w:p w14:paraId="5728864C" w14:textId="5DB331DB" w:rsidR="00EA19F7" w:rsidRPr="000333B4" w:rsidRDefault="006D5FA6" w:rsidP="00DF2AA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EA19F7">
              <w:rPr>
                <w:lang w:val="en-GB"/>
              </w:rPr>
              <w:t>..1</w:t>
            </w:r>
          </w:p>
        </w:tc>
        <w:tc>
          <w:tcPr>
            <w:tcW w:w="1420" w:type="dxa"/>
          </w:tcPr>
          <w:p w14:paraId="48B4E621" w14:textId="0DC6F548" w:rsidR="00EA19F7" w:rsidRPr="000333B4" w:rsidRDefault="00D003D4" w:rsidP="00DF2AA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Amount</w:t>
            </w:r>
          </w:p>
        </w:tc>
        <w:tc>
          <w:tcPr>
            <w:tcW w:w="1146" w:type="dxa"/>
          </w:tcPr>
          <w:p w14:paraId="5EED55A1" w14:textId="06397246" w:rsidR="00EA19F7" w:rsidRPr="000333B4" w:rsidRDefault="00912D15" w:rsidP="00DF2AA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D87079">
              <w:rPr>
                <w:lang w:val="en-GB"/>
              </w:rPr>
              <w:t>1</w:t>
            </w:r>
          </w:p>
        </w:tc>
        <w:tc>
          <w:tcPr>
            <w:tcW w:w="2594" w:type="dxa"/>
          </w:tcPr>
          <w:p w14:paraId="51FAF2EE" w14:textId="6C09C3F0" w:rsidR="00EA19F7" w:rsidRPr="000333B4" w:rsidRDefault="004A28AC" w:rsidP="00DF2AA7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TaxAmount</w:t>
            </w:r>
            <w:proofErr w:type="spellEnd"/>
          </w:p>
        </w:tc>
      </w:tr>
      <w:tr w:rsidR="00AD7093" w:rsidRPr="000333B4" w14:paraId="3E681C64" w14:textId="77777777" w:rsidTr="00DB7A02">
        <w:tc>
          <w:tcPr>
            <w:tcW w:w="2575" w:type="dxa"/>
          </w:tcPr>
          <w:p w14:paraId="30BFCB28" w14:textId="77777777" w:rsidR="00AD7093" w:rsidRDefault="00AD7093" w:rsidP="00DF2AA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1113" w:type="dxa"/>
          </w:tcPr>
          <w:p w14:paraId="48E17C3F" w14:textId="77777777" w:rsidR="00AD7093" w:rsidRPr="000333B4" w:rsidRDefault="00AD7093" w:rsidP="00DF2AA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749" w:type="dxa"/>
          </w:tcPr>
          <w:p w14:paraId="0D685801" w14:textId="77777777" w:rsidR="00AD7093" w:rsidRDefault="00AD7093" w:rsidP="00DF2AA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1177" w:type="dxa"/>
          </w:tcPr>
          <w:p w14:paraId="7704CD0A" w14:textId="78EF856C" w:rsidR="00AD7093" w:rsidRDefault="00AD7093" w:rsidP="00DF2AA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1..2</w:t>
            </w:r>
            <w:r w:rsidR="00D02914">
              <w:rPr>
                <w:rStyle w:val="FootnoteReference"/>
                <w:lang w:val="en-GB"/>
              </w:rPr>
              <w:footnoteReference w:id="1"/>
            </w:r>
          </w:p>
        </w:tc>
        <w:tc>
          <w:tcPr>
            <w:tcW w:w="1420" w:type="dxa"/>
          </w:tcPr>
          <w:p w14:paraId="0E3AFF0F" w14:textId="0BE43A1A" w:rsidR="00AD7093" w:rsidRDefault="00AD7093" w:rsidP="00DF2AA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Group</w:t>
            </w:r>
          </w:p>
        </w:tc>
        <w:tc>
          <w:tcPr>
            <w:tcW w:w="1146" w:type="dxa"/>
          </w:tcPr>
          <w:p w14:paraId="085790D5" w14:textId="77777777" w:rsidR="00AD7093" w:rsidRPr="000333B4" w:rsidRDefault="00AD7093" w:rsidP="00DF2AA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594" w:type="dxa"/>
          </w:tcPr>
          <w:p w14:paraId="225BFF91" w14:textId="71F41BC6" w:rsidR="00AD7093" w:rsidRDefault="00AD7093" w:rsidP="00DF2AA7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TaxTotal</w:t>
            </w:r>
            <w:proofErr w:type="spellEnd"/>
          </w:p>
        </w:tc>
      </w:tr>
    </w:tbl>
    <w:p w14:paraId="44B32EF2" w14:textId="77777777" w:rsidR="00EA19F7" w:rsidRDefault="00EA19F7" w:rsidP="00EA19F7"/>
    <w:p w14:paraId="291CCB5D" w14:textId="77777777" w:rsidR="00EA19F7" w:rsidRPr="000333B4" w:rsidRDefault="00EA19F7" w:rsidP="00EA19F7">
      <w:r>
        <w:t xml:space="preserve">Notice: due to European VATEX regulation, tax authorities might define a VAT tax exemption reason code for consumer empties. Latest info can be found at </w:t>
      </w:r>
      <w:hyperlink r:id="rId18" w:anchor="Codelists-2" w:history="1">
        <w:r w:rsidRPr="0092310E">
          <w:rPr>
            <w:rStyle w:val="Hyperlink"/>
          </w:rPr>
          <w:t>VATEX code list</w:t>
        </w:r>
      </w:hyperlink>
      <w:r>
        <w:t xml:space="preserve">. </w:t>
      </w:r>
    </w:p>
    <w:p w14:paraId="258771CC" w14:textId="358182F9" w:rsidR="00E94A5F" w:rsidRPr="00236948" w:rsidRDefault="00D83328" w:rsidP="00E94A5F">
      <w:pPr>
        <w:pStyle w:val="Heading4"/>
        <w:rPr>
          <w:lang w:val="en-GB"/>
        </w:rPr>
      </w:pPr>
      <w:r w:rsidRPr="00236948">
        <w:rPr>
          <w:lang w:val="en-GB"/>
        </w:rPr>
        <w:t>Additional c</w:t>
      </w:r>
      <w:r w:rsidR="00E07B88" w:rsidRPr="00236948">
        <w:rPr>
          <w:lang w:val="en-GB"/>
        </w:rPr>
        <w:t>alculation rules</w:t>
      </w:r>
    </w:p>
    <w:p w14:paraId="4649D0F4" w14:textId="77777777" w:rsidR="001066D2" w:rsidRPr="000333B4" w:rsidRDefault="001066D2" w:rsidP="001066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1066D2" w:rsidRPr="000333B4" w14:paraId="4CD34676" w14:textId="77777777" w:rsidTr="00DF2AA7">
        <w:tc>
          <w:tcPr>
            <w:tcW w:w="1413" w:type="dxa"/>
            <w:shd w:val="clear" w:color="auto" w:fill="DEEAF6" w:themeFill="accent1" w:themeFillTint="33"/>
          </w:tcPr>
          <w:p w14:paraId="18E1F65C" w14:textId="77777777" w:rsidR="001066D2" w:rsidRPr="000333B4" w:rsidRDefault="001066D2" w:rsidP="00DF2AA7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0333B4">
              <w:rPr>
                <w:rFonts w:ascii="Consolas" w:hAnsi="Consolas"/>
                <w:sz w:val="18"/>
                <w:szCs w:val="18"/>
                <w:lang w:val="en-GB"/>
              </w:rPr>
              <w:t>ID</w:t>
            </w:r>
          </w:p>
        </w:tc>
        <w:tc>
          <w:tcPr>
            <w:tcW w:w="7647" w:type="dxa"/>
            <w:shd w:val="clear" w:color="auto" w:fill="DEEAF6" w:themeFill="accent1" w:themeFillTint="33"/>
          </w:tcPr>
          <w:p w14:paraId="2FB4F978" w14:textId="77777777" w:rsidR="001066D2" w:rsidRPr="000333B4" w:rsidRDefault="001066D2" w:rsidP="00DF2AA7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0333B4">
              <w:rPr>
                <w:rFonts w:ascii="Consolas" w:hAnsi="Consolas"/>
                <w:sz w:val="18"/>
                <w:szCs w:val="18"/>
                <w:lang w:val="en-GB"/>
              </w:rPr>
              <w:t>Regel</w:t>
            </w:r>
          </w:p>
        </w:tc>
      </w:tr>
      <w:tr w:rsidR="001066D2" w:rsidRPr="000333B4" w14:paraId="69DA25C3" w14:textId="77777777" w:rsidTr="00DF2AA7">
        <w:tc>
          <w:tcPr>
            <w:tcW w:w="1413" w:type="dxa"/>
          </w:tcPr>
          <w:p w14:paraId="6042FCD9" w14:textId="42590215" w:rsidR="001066D2" w:rsidRPr="000333B4" w:rsidRDefault="001066D2" w:rsidP="00DF2AA7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0333B4">
              <w:rPr>
                <w:rFonts w:ascii="Consolas" w:hAnsi="Consolas"/>
                <w:sz w:val="18"/>
                <w:szCs w:val="18"/>
                <w:lang w:val="en-GB"/>
              </w:rPr>
              <w:t>BR-</w:t>
            </w:r>
            <w:r w:rsidR="00077D4A">
              <w:rPr>
                <w:rFonts w:ascii="Consolas" w:hAnsi="Consolas"/>
                <w:sz w:val="18"/>
                <w:szCs w:val="18"/>
                <w:lang w:val="en-GB"/>
              </w:rPr>
              <w:t>53</w:t>
            </w:r>
          </w:p>
        </w:tc>
        <w:tc>
          <w:tcPr>
            <w:tcW w:w="7647" w:type="dxa"/>
          </w:tcPr>
          <w:p w14:paraId="4724CD05" w14:textId="644CF148" w:rsidR="001066D2" w:rsidRPr="004F64F4" w:rsidRDefault="004F64F4" w:rsidP="00DF2AA7">
            <w:pPr>
              <w:rPr>
                <w:rFonts w:ascii="Consolas" w:hAnsi="Consolas"/>
                <w:sz w:val="18"/>
                <w:szCs w:val="18"/>
                <w:lang w:val="en-GB"/>
              </w:rPr>
            </w:pPr>
            <w:r w:rsidRPr="004F64F4">
              <w:rPr>
                <w:rFonts w:ascii="Consolas" w:hAnsi="Consolas" w:cs="Helvetica"/>
                <w:sz w:val="18"/>
                <w:szCs w:val="18"/>
                <w:shd w:val="clear" w:color="auto" w:fill="FFFFFF"/>
                <w:lang w:val="en-GB"/>
              </w:rPr>
              <w:t>If the VAT accounting currency code (BT-6) is present, then the Invoice total VAT amount in accounting currency (BT-111) shall be provided.</w:t>
            </w:r>
          </w:p>
        </w:tc>
      </w:tr>
      <w:tr w:rsidR="001066D2" w:rsidRPr="000333B4" w14:paraId="7D1122AA" w14:textId="77777777" w:rsidTr="00DF2AA7">
        <w:tc>
          <w:tcPr>
            <w:tcW w:w="1413" w:type="dxa"/>
          </w:tcPr>
          <w:p w14:paraId="1F82DDC5" w14:textId="325A89BF" w:rsidR="001066D2" w:rsidRDefault="001066D2" w:rsidP="00DF2AA7">
            <w:pPr>
              <w:rPr>
                <w:rFonts w:ascii="Consolas" w:hAnsi="Consolas"/>
                <w:sz w:val="18"/>
                <w:szCs w:val="18"/>
              </w:rPr>
            </w:pPr>
            <w:r>
              <w:rPr>
                <w:rFonts w:ascii="Consolas" w:hAnsi="Consolas"/>
                <w:sz w:val="18"/>
                <w:szCs w:val="18"/>
              </w:rPr>
              <w:t>BR-CO-</w:t>
            </w:r>
            <w:r w:rsidR="00793447">
              <w:rPr>
                <w:rFonts w:ascii="Consolas" w:hAnsi="Consolas"/>
                <w:sz w:val="18"/>
                <w:szCs w:val="18"/>
              </w:rPr>
              <w:t>1</w:t>
            </w:r>
            <w:r>
              <w:rPr>
                <w:rFonts w:ascii="Consolas" w:hAnsi="Consolas"/>
                <w:sz w:val="18"/>
                <w:szCs w:val="18"/>
              </w:rPr>
              <w:t>4</w:t>
            </w:r>
          </w:p>
        </w:tc>
        <w:tc>
          <w:tcPr>
            <w:tcW w:w="7647" w:type="dxa"/>
          </w:tcPr>
          <w:p w14:paraId="7A828ABB" w14:textId="122CCE89" w:rsidR="001066D2" w:rsidRPr="008601D6" w:rsidRDefault="00793447" w:rsidP="00DF2AA7">
            <w:pPr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</w:pPr>
            <w:r w:rsidRPr="00793447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Invoice total VAT amount (BT-11</w:t>
            </w:r>
            <w:r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1</w:t>
            </w:r>
            <w:r w:rsidRPr="00793447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) = Σ VAT category tax amount (BT-117</w:t>
            </w:r>
            <w:r w:rsidR="00DB7A02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 xml:space="preserve"> in accounting currency</w:t>
            </w:r>
            <w:r w:rsidRPr="00793447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).</w:t>
            </w:r>
          </w:p>
        </w:tc>
      </w:tr>
      <w:tr w:rsidR="004B5D84" w:rsidRPr="000333B4" w14:paraId="116962D1" w14:textId="77777777" w:rsidTr="00DF2AA7">
        <w:tc>
          <w:tcPr>
            <w:tcW w:w="1413" w:type="dxa"/>
          </w:tcPr>
          <w:p w14:paraId="1EC05095" w14:textId="77777777" w:rsidR="004B5D84" w:rsidRPr="004B5D84" w:rsidRDefault="004B5D84" w:rsidP="004B5D84">
            <w:pPr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</w:pPr>
            <w:r w:rsidRPr="004B5D84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PEPPOL-EN16931-R054</w:t>
            </w:r>
          </w:p>
          <w:p w14:paraId="0C7FD4AD" w14:textId="77777777" w:rsidR="004B5D84" w:rsidRDefault="004B5D84" w:rsidP="00DF2AA7">
            <w:pPr>
              <w:rPr>
                <w:rFonts w:ascii="Consolas" w:hAnsi="Consolas"/>
                <w:sz w:val="18"/>
                <w:szCs w:val="18"/>
              </w:rPr>
            </w:pPr>
          </w:p>
        </w:tc>
        <w:tc>
          <w:tcPr>
            <w:tcW w:w="7647" w:type="dxa"/>
          </w:tcPr>
          <w:p w14:paraId="1F0EAF57" w14:textId="5313DA50" w:rsidR="004B5D84" w:rsidRPr="004B5D84" w:rsidRDefault="004B5D84" w:rsidP="004B5D84">
            <w:pPr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</w:pPr>
            <w:r w:rsidRPr="004B5D84">
              <w:rPr>
                <w:rFonts w:ascii="Consolas" w:hAnsi="Consolas" w:cs="Helvetica"/>
                <w:color w:val="333333"/>
                <w:sz w:val="18"/>
                <w:szCs w:val="18"/>
                <w:shd w:val="clear" w:color="auto" w:fill="F9F9F9"/>
                <w:lang w:val="en-GB"/>
              </w:rPr>
              <w:t>Only one tax total without tax subtotals MUST be provided when tax currency code is provided.</w:t>
            </w:r>
          </w:p>
        </w:tc>
      </w:tr>
    </w:tbl>
    <w:p w14:paraId="1886A965" w14:textId="05025A2B" w:rsidR="005F4CE0" w:rsidRPr="00236948" w:rsidRDefault="00634539" w:rsidP="00682C4A">
      <w:pPr>
        <w:sectPr w:rsidR="005F4CE0" w:rsidRPr="00236948" w:rsidSect="005F4CE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36948">
        <w:br w:type="page"/>
      </w:r>
    </w:p>
    <w:p w14:paraId="33AD788D" w14:textId="5A49E21F" w:rsidR="0058288E" w:rsidRPr="00236948" w:rsidRDefault="00E07B88" w:rsidP="0058288E">
      <w:pPr>
        <w:pStyle w:val="Heading4"/>
        <w:rPr>
          <w:lang w:val="en-GB"/>
        </w:rPr>
      </w:pPr>
      <w:r w:rsidRPr="00236948">
        <w:rPr>
          <w:lang w:val="en-GB"/>
        </w:rPr>
        <w:lastRenderedPageBreak/>
        <w:t>Description relevant invoice</w:t>
      </w:r>
      <w:r w:rsidR="000076D3" w:rsidRPr="00236948">
        <w:rPr>
          <w:lang w:val="en-GB"/>
        </w:rPr>
        <w:t xml:space="preserve"> elements</w:t>
      </w:r>
    </w:p>
    <w:p w14:paraId="4ACF4C2C" w14:textId="67B6E20E" w:rsidR="004172C6" w:rsidRPr="000333B4" w:rsidRDefault="004172C6" w:rsidP="004172C6">
      <w:pPr>
        <w:pStyle w:val="Heading5"/>
        <w:rPr>
          <w:lang w:val="en-GB"/>
        </w:rPr>
      </w:pPr>
      <w:r w:rsidRPr="000333B4">
        <w:rPr>
          <w:lang w:val="en-GB"/>
        </w:rPr>
        <w:t xml:space="preserve">VAT totals when billing </w:t>
      </w:r>
      <w:r w:rsidR="00265CA4">
        <w:rPr>
          <w:lang w:val="en-GB"/>
        </w:rPr>
        <w:t>in USD and vat should hold EUR</w:t>
      </w:r>
    </w:p>
    <w:tbl>
      <w:tblPr>
        <w:tblStyle w:val="Codesnipets"/>
        <w:tblW w:w="15021" w:type="dxa"/>
        <w:tblLook w:val="04A0" w:firstRow="1" w:lastRow="0" w:firstColumn="1" w:lastColumn="0" w:noHBand="0" w:noVBand="1"/>
      </w:tblPr>
      <w:tblGrid>
        <w:gridCol w:w="8359"/>
        <w:gridCol w:w="4819"/>
        <w:gridCol w:w="1843"/>
      </w:tblGrid>
      <w:tr w:rsidR="004172C6" w:rsidRPr="000333B4" w14:paraId="2C430A7E" w14:textId="77777777" w:rsidTr="00DF2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DAA0B0E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XML-code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F76D993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Comments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85ACCE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BT-id</w:t>
            </w:r>
          </w:p>
        </w:tc>
      </w:tr>
      <w:tr w:rsidR="00AC64CF" w:rsidRPr="000333B4" w14:paraId="60FE0DC0" w14:textId="77777777" w:rsidTr="00DF2AA7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997091" w14:textId="016543AD" w:rsidR="00AC64CF" w:rsidRPr="000333B4" w:rsidRDefault="00AC64CF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</w:t>
            </w:r>
            <w:r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T</w:t>
            </w:r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otal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802DBD" w14:textId="77777777" w:rsidR="00AC64CF" w:rsidRPr="000333B4" w:rsidRDefault="00AC64CF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6774F2" w14:textId="77777777" w:rsidR="00AC64CF" w:rsidRPr="000333B4" w:rsidRDefault="00AC64CF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="00586E85" w:rsidRPr="000333B4" w14:paraId="430434D8" w14:textId="77777777" w:rsidTr="00DF2AA7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2F3F0" w14:textId="3059FE0D" w:rsidR="00586E85" w:rsidRPr="00751C5C" w:rsidRDefault="00751C5C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</w:t>
            </w: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</w:t>
            </w:r>
            <w:r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USD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="001B3631" w:rsidRPr="001B3631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3272.22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D50692" w14:textId="77777777" w:rsidR="00586E85" w:rsidRPr="00751C5C" w:rsidRDefault="00586E85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69D459" w14:textId="683CA847" w:rsidR="00586E85" w:rsidRPr="00751C5C" w:rsidRDefault="006A5D8C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</w:t>
            </w:r>
            <w:r w:rsidR="00C70783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110</w:t>
            </w:r>
          </w:p>
        </w:tc>
      </w:tr>
      <w:tr w:rsidR="004172C6" w:rsidRPr="000333B4" w14:paraId="5DCA4631" w14:textId="77777777" w:rsidTr="00DF2AA7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F64B55" w14:textId="29843D4D" w:rsidR="004172C6" w:rsidRPr="000333B4" w:rsidRDefault="00306AE9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</w:t>
            </w:r>
            <w:r w:rsidR="004172C6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="004172C6"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="004172C6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B4C143" w14:textId="7020566E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Start tax block </w:t>
            </w:r>
            <w:r w:rsidR="0006135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in billing currency (USD)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6708D1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72C6" w:rsidRPr="000333B4" w14:paraId="27987D0D" w14:textId="77777777" w:rsidTr="00DF2AA7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F3A0D7" w14:textId="49705565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="00306AE9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</w:t>
            </w:r>
            <w:r w:rsidR="00AC64CF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USD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="007D1449" w:rsidRPr="007D1449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15582.00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6E262F" w14:textId="75A65CB1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Taxable amount</w:t>
            </w:r>
            <w:r w:rsidR="0006135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in USD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BB96E4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BT-116</w:t>
            </w:r>
          </w:p>
        </w:tc>
      </w:tr>
      <w:tr w:rsidR="004172C6" w:rsidRPr="000333B4" w14:paraId="122AB0A2" w14:textId="77777777" w:rsidTr="00DF2AA7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02157F" w14:textId="44500809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</w:t>
            </w:r>
            <w:r w:rsidR="00306AE9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</w:t>
            </w:r>
            <w:r w:rsidR="00AC64CF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USD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="00E44E76" w:rsidRPr="00E44E76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3272.22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FF5E57" w14:textId="5A65BE1F" w:rsidR="004172C6" w:rsidRPr="003B4C26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proofErr w:type="spellStart"/>
            <w:r w:rsidRPr="003B4C2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Subtotal</w:t>
            </w:r>
            <w:proofErr w:type="spellEnd"/>
            <w:r w:rsidRPr="003B4C2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vat </w:t>
            </w:r>
            <w:proofErr w:type="spellStart"/>
            <w:r w:rsidRPr="003B4C2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amount</w:t>
            </w:r>
            <w:proofErr w:type="spellEnd"/>
            <w:r w:rsidRPr="003B4C2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</w:t>
            </w:r>
            <w:r w:rsidR="003B4C26" w:rsidRPr="003B4C2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in U</w:t>
            </w:r>
            <w:r w:rsidR="003B4C26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SD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2E1BD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BT-117</w:t>
            </w:r>
          </w:p>
        </w:tc>
      </w:tr>
      <w:tr w:rsidR="004172C6" w:rsidRPr="000333B4" w14:paraId="40E1E390" w14:textId="77777777" w:rsidTr="00DF2AA7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C6E756" w14:textId="6343A4F6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</w:t>
            </w:r>
            <w:r w:rsidR="00306AE9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5865E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0797F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72C6" w:rsidRPr="000333B4" w14:paraId="1C00BCCB" w14:textId="77777777" w:rsidTr="00DF2AA7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E3F0C4" w14:textId="54979A22" w:rsidR="004172C6" w:rsidRPr="007E1F5C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de-DE"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val="de-DE" w:eastAsia="nl-BE"/>
              </w:rPr>
              <w:t xml:space="preserve">    </w:t>
            </w:r>
            <w:r w:rsidR="00306AE9">
              <w:rPr>
                <w:rFonts w:ascii="Consolas" w:hAnsi="Consolas" w:cs="Consolas"/>
                <w:color w:val="24292E"/>
                <w:sz w:val="18"/>
                <w:szCs w:val="18"/>
                <w:lang w:val="de-DE" w:eastAsia="nl-BE"/>
              </w:rPr>
              <w:t xml:space="preserve">   </w:t>
            </w: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val="de-DE" w:eastAsia="nl-BE"/>
              </w:rPr>
              <w:t>&lt;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val="de-DE"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val="de-DE" w:eastAsia="nl-BE"/>
              </w:rPr>
              <w:t>&gt;</w:t>
            </w:r>
            <w:r w:rsidR="00E44E76">
              <w:rPr>
                <w:rFonts w:ascii="Consolas" w:hAnsi="Consolas" w:cs="Consolas"/>
                <w:color w:val="24292E"/>
                <w:sz w:val="18"/>
                <w:szCs w:val="18"/>
                <w:lang w:val="de-DE" w:eastAsia="nl-BE"/>
              </w:rPr>
              <w:t>S</w:t>
            </w: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val="de-DE" w:eastAsia="nl-BE"/>
              </w:rPr>
              <w:t>&lt;/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val="de-DE"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val="de-DE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79866CC" w14:textId="2BB6BF65" w:rsidR="004172C6" w:rsidRPr="000333B4" w:rsidRDefault="003B4C2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 = Standard vat rate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C608D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BT-118</w:t>
            </w:r>
          </w:p>
        </w:tc>
      </w:tr>
      <w:tr w:rsidR="004172C6" w:rsidRPr="000333B4" w14:paraId="4956B5B0" w14:textId="77777777" w:rsidTr="00DF2AA7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577ABB" w14:textId="3B05C3DB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 </w:t>
            </w:r>
            <w:r w:rsidR="00306AE9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="000B40E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21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0C409C" w14:textId="4BC060A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VAT rate </w:t>
            </w:r>
            <w:proofErr w:type="spellStart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TaxSubtotal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block (</w:t>
            </w:r>
            <w:r w:rsidR="003B4C26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21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%)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1770FF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BT-119</w:t>
            </w:r>
          </w:p>
        </w:tc>
      </w:tr>
      <w:tr w:rsidR="004172C6" w:rsidRPr="000333B4" w14:paraId="3C297E44" w14:textId="77777777" w:rsidTr="00DF2AA7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6C1B6D" w14:textId="6E11790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</w:t>
            </w:r>
            <w:r w:rsidR="00306AE9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64DDEB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A2587D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72C6" w:rsidRPr="008546C2" w14:paraId="106D1E27" w14:textId="77777777" w:rsidTr="00DF2AA7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EDDBBCA" w14:textId="15CE5428" w:rsidR="004172C6" w:rsidRPr="007E1F5C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ab/>
              <w:t xml:space="preserve"> </w:t>
            </w:r>
            <w:r w:rsidR="00306AE9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</w:t>
            </w: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&lt;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7E1F5C">
              <w:rPr>
                <w:rFonts w:ascii="Consolas" w:hAnsi="Consolas" w:cs="Consolas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9F9FE" w14:textId="77777777" w:rsidR="004172C6" w:rsidRPr="007E1F5C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8554C" w14:textId="77777777" w:rsidR="004172C6" w:rsidRPr="007E1F5C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="004172C6" w:rsidRPr="000333B4" w14:paraId="2607121C" w14:textId="77777777" w:rsidTr="00DF2AA7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2A73F7" w14:textId="598A6C0C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</w:t>
            </w:r>
            <w:r w:rsidR="00306AE9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  </w:t>
            </w:r>
            <w:r w:rsidRPr="007E1F5C"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  <w:t xml:space="preserve">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FB49C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B06B09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72C6" w:rsidRPr="000333B4" w14:paraId="75E63B80" w14:textId="77777777" w:rsidTr="00DF2AA7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4E8DD7" w14:textId="303314D9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="00306AE9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470DB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8A7639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72C6" w:rsidRPr="000333B4" w14:paraId="4E87E24F" w14:textId="77777777" w:rsidTr="00AC64CF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8592B1" w14:textId="1430F77B" w:rsidR="004172C6" w:rsidRPr="000333B4" w:rsidRDefault="00306AE9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 </w:t>
            </w:r>
            <w:r w:rsidR="004172C6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="004172C6"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="004172C6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="004172C6"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594713" w14:textId="41A656C0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End tax block</w:t>
            </w:r>
            <w:r w:rsidR="006A5D8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USD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087546" w14:textId="77777777" w:rsidR="004172C6" w:rsidRPr="000333B4" w:rsidRDefault="004172C6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1B3631" w:rsidRPr="000333B4" w14:paraId="4A7DBAA7" w14:textId="77777777" w:rsidTr="00AC64CF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65F17B" w14:textId="1CA9AA9C" w:rsidR="001B3631" w:rsidRDefault="001B3631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</w:t>
            </w:r>
            <w:r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T</w:t>
            </w:r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otal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DDF6B" w14:textId="77777777" w:rsidR="001B3631" w:rsidRPr="000333B4" w:rsidRDefault="001B3631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0B647" w14:textId="77777777" w:rsidR="001B3631" w:rsidRPr="000333B4" w:rsidRDefault="001B3631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="001B3631" w:rsidRPr="000333B4" w14:paraId="5F9E95DC" w14:textId="77777777" w:rsidTr="00AC64CF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DAD6B9" w14:textId="4CDA0911" w:rsidR="001B3631" w:rsidRDefault="001B3631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</w:t>
            </w:r>
            <w:r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T</w:t>
            </w:r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otal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6C3540" w14:textId="77777777" w:rsidR="001B3631" w:rsidRPr="000333B4" w:rsidRDefault="001B3631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39B02" w14:textId="77777777" w:rsidR="001B3631" w:rsidRPr="000333B4" w:rsidRDefault="001B3631" w:rsidP="00DF2AA7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  <w:tr w:rsidR="00061350" w:rsidRPr="000333B4" w14:paraId="6A6D7D14" w14:textId="77777777" w:rsidTr="00AC64CF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89A50F" w14:textId="740B1040" w:rsidR="00061350" w:rsidRPr="00AC64CF" w:rsidRDefault="00061350" w:rsidP="0006135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 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0333B4">
              <w:rPr>
                <w:rFonts w:ascii="Consolas" w:hAnsi="Consolas" w:cs="Consolas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=</w:t>
            </w:r>
            <w:r w:rsidRPr="000333B4">
              <w:rPr>
                <w:rFonts w:ascii="Consolas" w:hAnsi="Consolas" w:cs="Consolas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="000B40E0" w:rsidRPr="000B40E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2931.68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8E2185" w14:textId="62D838E5" w:rsidR="00061350" w:rsidRPr="006A5D8C" w:rsidRDefault="00061350" w:rsidP="0006135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Taxable amount</w:t>
            </w:r>
            <w:r w:rsidR="000B40E0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in EUR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="006A5D8C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(accounting currency)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A8A277" w14:textId="68F451BA" w:rsidR="00061350" w:rsidRPr="000333B4" w:rsidRDefault="00061350" w:rsidP="0006135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</w:t>
            </w:r>
            <w:r w:rsidR="00C70783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1</w:t>
            </w:r>
          </w:p>
        </w:tc>
      </w:tr>
      <w:tr w:rsidR="00061350" w:rsidRPr="000333B4" w14:paraId="7687DF04" w14:textId="77777777" w:rsidTr="00DF2AA7">
        <w:tc>
          <w:tcPr>
            <w:tcW w:w="8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644" w14:textId="53F76FAC" w:rsidR="00061350" w:rsidRPr="000333B4" w:rsidRDefault="00061350" w:rsidP="0006135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cac:Tax</w:t>
            </w:r>
            <w:r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T</w:t>
            </w:r>
            <w:r w:rsidRPr="000333B4">
              <w:rPr>
                <w:rFonts w:ascii="Consolas" w:hAnsi="Consolas" w:cs="Consolas"/>
                <w:color w:val="22863A"/>
                <w:sz w:val="18"/>
                <w:szCs w:val="18"/>
                <w:lang w:val="en-GB" w:eastAsia="nl-BE"/>
              </w:rPr>
              <w:t>otal</w:t>
            </w:r>
            <w:proofErr w:type="spellEnd"/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&gt;</w:t>
            </w:r>
            <w:r w:rsidRPr="000333B4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ab/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2AD5" w14:textId="77777777" w:rsidR="00061350" w:rsidRPr="000333B4" w:rsidRDefault="00061350" w:rsidP="0006135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5D5" w14:textId="77777777" w:rsidR="00061350" w:rsidRPr="000333B4" w:rsidRDefault="00061350" w:rsidP="00061350">
            <w:pPr>
              <w:spacing w:line="300" w:lineRule="exact"/>
              <w:rPr>
                <w:rFonts w:ascii="Consolas" w:hAnsi="Consolas" w:cs="Consolas"/>
                <w:color w:val="24292E"/>
                <w:sz w:val="18"/>
                <w:szCs w:val="18"/>
                <w:lang w:eastAsia="nl-BE"/>
              </w:rPr>
            </w:pPr>
          </w:p>
        </w:tc>
      </w:tr>
    </w:tbl>
    <w:p w14:paraId="2927715A" w14:textId="3E000DFB" w:rsidR="006A29D2" w:rsidRPr="00C07533" w:rsidRDefault="006A29D2" w:rsidP="00C07533">
      <w:pPr>
        <w:pStyle w:val="Heading4"/>
        <w:numPr>
          <w:ilvl w:val="0"/>
          <w:numId w:val="0"/>
        </w:numPr>
        <w:rPr>
          <w:b w:val="0"/>
          <w:u w:val="none"/>
          <w:lang w:val="en-GB"/>
        </w:rPr>
      </w:pPr>
    </w:p>
    <w:sectPr w:rsidR="006A29D2" w:rsidRPr="00C07533" w:rsidSect="00D411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A1FF" w14:textId="77777777" w:rsidR="00DD34C8" w:rsidRDefault="00DD34C8" w:rsidP="008B6F48">
      <w:r>
        <w:separator/>
      </w:r>
    </w:p>
  </w:endnote>
  <w:endnote w:type="continuationSeparator" w:id="0">
    <w:p w14:paraId="74846697" w14:textId="77777777" w:rsidR="00DD34C8" w:rsidRDefault="00DD34C8" w:rsidP="008B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FE71B" w14:textId="77777777" w:rsidR="003C5D40" w:rsidRDefault="003C5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B9E3" w14:textId="77777777" w:rsidR="00714BD1" w:rsidRDefault="00714BD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0A745AD4" w14:textId="77777777" w:rsidR="00714BD1" w:rsidRDefault="00714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F8E8" w14:textId="77777777" w:rsidR="003C5D40" w:rsidRDefault="003C5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69A9D" w14:textId="77777777" w:rsidR="00DD34C8" w:rsidRDefault="00DD34C8" w:rsidP="008B6F48">
      <w:r>
        <w:separator/>
      </w:r>
    </w:p>
  </w:footnote>
  <w:footnote w:type="continuationSeparator" w:id="0">
    <w:p w14:paraId="47A9BAF5" w14:textId="77777777" w:rsidR="00DD34C8" w:rsidRDefault="00DD34C8" w:rsidP="008B6F48">
      <w:r>
        <w:continuationSeparator/>
      </w:r>
    </w:p>
  </w:footnote>
  <w:footnote w:id="1">
    <w:p w14:paraId="17DE6DEF" w14:textId="3D5B6ECE" w:rsidR="00D02914" w:rsidRPr="003414C3" w:rsidRDefault="00D0291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414C3">
        <w:rPr>
          <w:lang w:val="en-GB"/>
        </w:rPr>
        <w:t xml:space="preserve"> </w:t>
      </w:r>
      <w:r w:rsidR="003414C3" w:rsidRPr="003414C3">
        <w:rPr>
          <w:lang w:val="en-GB"/>
        </w:rPr>
        <w:t>When tax currency code is provided, two instances of the tax total must be present, but only one with tax subtotal.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1C9E" w14:textId="77777777" w:rsidR="003C5D40" w:rsidRDefault="003C5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B77B" w14:textId="24DF2111" w:rsidR="00714BD1" w:rsidRPr="00407ADC" w:rsidRDefault="00FA7A74">
    <w:pPr>
      <w:pStyle w:val="Header"/>
      <w:rPr>
        <w:sz w:val="24"/>
        <w:szCs w:val="24"/>
        <w:lang w:val="en-GB"/>
      </w:rPr>
    </w:pPr>
    <w:r w:rsidRPr="00407ADC">
      <w:rPr>
        <w:rFonts w:asciiTheme="majorHAnsi" w:eastAsiaTheme="majorEastAsia" w:hAnsiTheme="majorHAnsi" w:cstheme="majorBidi"/>
        <w:color w:val="5B9BD5" w:themeColor="accent1"/>
        <w:sz w:val="24"/>
        <w:szCs w:val="24"/>
        <w:lang w:val="en-GB"/>
      </w:rPr>
      <w:t xml:space="preserve">Multicurrency </w:t>
    </w:r>
    <w:r w:rsidR="00407ADC" w:rsidRPr="00407ADC">
      <w:rPr>
        <w:rFonts w:asciiTheme="majorHAnsi" w:eastAsiaTheme="majorEastAsia" w:hAnsiTheme="majorHAnsi" w:cstheme="majorBidi"/>
        <w:color w:val="5B9BD5" w:themeColor="accent1"/>
        <w:sz w:val="24"/>
        <w:szCs w:val="24"/>
        <w:lang w:val="en-GB"/>
      </w:rPr>
      <w:t>i</w:t>
    </w:r>
    <w:r w:rsidR="00407ADC">
      <w:rPr>
        <w:rFonts w:asciiTheme="majorHAnsi" w:eastAsiaTheme="majorEastAsia" w:hAnsiTheme="majorHAnsi" w:cstheme="majorBidi"/>
        <w:color w:val="5B9BD5" w:themeColor="accent1"/>
        <w:sz w:val="24"/>
        <w:szCs w:val="24"/>
        <w:lang w:val="en-GB"/>
      </w:rPr>
      <w:t>nvoicing</w:t>
    </w:r>
    <w:r w:rsidR="00714BD1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placeholder>
          <w:docPart w:val="F84D5AB87AD34860B52E314069FBA888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C5D40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  <w:lang w:val="en-US"/>
          </w:rPr>
          <w:t>August 20, 2020</w:t>
        </w:r>
      </w:sdtContent>
    </w:sdt>
  </w:p>
  <w:p w14:paraId="00D7BE63" w14:textId="77777777" w:rsidR="00714BD1" w:rsidRPr="00407ADC" w:rsidRDefault="00714BD1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C599" w14:textId="77777777" w:rsidR="003C5D40" w:rsidRDefault="003C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161"/>
    <w:multiLevelType w:val="hybridMultilevel"/>
    <w:tmpl w:val="8F7649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674"/>
    <w:multiLevelType w:val="hybridMultilevel"/>
    <w:tmpl w:val="68285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2EFD"/>
    <w:multiLevelType w:val="hybridMultilevel"/>
    <w:tmpl w:val="0BCAB012"/>
    <w:lvl w:ilvl="0" w:tplc="8C46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1427"/>
    <w:multiLevelType w:val="hybridMultilevel"/>
    <w:tmpl w:val="F02206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81AC5"/>
    <w:multiLevelType w:val="hybridMultilevel"/>
    <w:tmpl w:val="F80231D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4596D"/>
    <w:multiLevelType w:val="hybridMultilevel"/>
    <w:tmpl w:val="07A6B5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6162"/>
    <w:multiLevelType w:val="multilevel"/>
    <w:tmpl w:val="D97630E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826" w:hanging="431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431" w:hanging="43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7A75E6F"/>
    <w:multiLevelType w:val="hybridMultilevel"/>
    <w:tmpl w:val="278A26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A2ABD"/>
    <w:multiLevelType w:val="hybridMultilevel"/>
    <w:tmpl w:val="8FC269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766B15"/>
    <w:multiLevelType w:val="hybridMultilevel"/>
    <w:tmpl w:val="95C40A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8676A3"/>
    <w:multiLevelType w:val="multilevel"/>
    <w:tmpl w:val="7D685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1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C94A87"/>
    <w:multiLevelType w:val="hybridMultilevel"/>
    <w:tmpl w:val="3C0036B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665A2C"/>
    <w:multiLevelType w:val="hybridMultilevel"/>
    <w:tmpl w:val="790AE9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D0753"/>
    <w:multiLevelType w:val="hybridMultilevel"/>
    <w:tmpl w:val="F7DA1BBE"/>
    <w:lvl w:ilvl="0" w:tplc="977A9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046DBE"/>
    <w:multiLevelType w:val="hybridMultilevel"/>
    <w:tmpl w:val="39EEE10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516AB1"/>
    <w:multiLevelType w:val="hybridMultilevel"/>
    <w:tmpl w:val="B7D0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01903"/>
    <w:multiLevelType w:val="hybridMultilevel"/>
    <w:tmpl w:val="85B03A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F2400"/>
    <w:multiLevelType w:val="hybridMultilevel"/>
    <w:tmpl w:val="A7C839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2391C"/>
    <w:multiLevelType w:val="hybridMultilevel"/>
    <w:tmpl w:val="3814CA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4799D"/>
    <w:multiLevelType w:val="hybridMultilevel"/>
    <w:tmpl w:val="C38C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64264"/>
    <w:multiLevelType w:val="hybridMultilevel"/>
    <w:tmpl w:val="F894D7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686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96833C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13A3C"/>
    <w:multiLevelType w:val="hybridMultilevel"/>
    <w:tmpl w:val="7898F3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C24BA2"/>
    <w:multiLevelType w:val="hybridMultilevel"/>
    <w:tmpl w:val="F4BC64D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3042C5"/>
    <w:multiLevelType w:val="hybridMultilevel"/>
    <w:tmpl w:val="87568F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220FAB"/>
    <w:multiLevelType w:val="hybridMultilevel"/>
    <w:tmpl w:val="74A0AD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A16FB"/>
    <w:multiLevelType w:val="hybridMultilevel"/>
    <w:tmpl w:val="E59AF526"/>
    <w:lvl w:ilvl="0" w:tplc="AF38A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95BA5"/>
    <w:multiLevelType w:val="hybridMultilevel"/>
    <w:tmpl w:val="FFF606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5D6CB1"/>
    <w:multiLevelType w:val="hybridMultilevel"/>
    <w:tmpl w:val="12F824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D864AE"/>
    <w:multiLevelType w:val="hybridMultilevel"/>
    <w:tmpl w:val="817CD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E6FC8"/>
    <w:multiLevelType w:val="hybridMultilevel"/>
    <w:tmpl w:val="52F4D72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ED31F8"/>
    <w:multiLevelType w:val="hybridMultilevel"/>
    <w:tmpl w:val="8656F51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57FA5"/>
    <w:multiLevelType w:val="hybridMultilevel"/>
    <w:tmpl w:val="B55C16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10130C"/>
    <w:multiLevelType w:val="hybridMultilevel"/>
    <w:tmpl w:val="EBE09C2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C10EA7"/>
    <w:multiLevelType w:val="hybridMultilevel"/>
    <w:tmpl w:val="8CBCB36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F111AA"/>
    <w:multiLevelType w:val="hybridMultilevel"/>
    <w:tmpl w:val="36C450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EB238C"/>
    <w:multiLevelType w:val="hybridMultilevel"/>
    <w:tmpl w:val="DC4271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429B1"/>
    <w:multiLevelType w:val="hybridMultilevel"/>
    <w:tmpl w:val="6F86CECC"/>
    <w:lvl w:ilvl="0" w:tplc="17C8A05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6"/>
  </w:num>
  <w:num w:numId="5">
    <w:abstractNumId w:val="23"/>
  </w:num>
  <w:num w:numId="6">
    <w:abstractNumId w:val="4"/>
  </w:num>
  <w:num w:numId="7">
    <w:abstractNumId w:val="1"/>
  </w:num>
  <w:num w:numId="8">
    <w:abstractNumId w:val="34"/>
  </w:num>
  <w:num w:numId="9">
    <w:abstractNumId w:val="22"/>
  </w:num>
  <w:num w:numId="10">
    <w:abstractNumId w:val="5"/>
  </w:num>
  <w:num w:numId="11">
    <w:abstractNumId w:val="36"/>
  </w:num>
  <w:num w:numId="12">
    <w:abstractNumId w:val="26"/>
  </w:num>
  <w:num w:numId="13">
    <w:abstractNumId w:val="2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9"/>
  </w:num>
  <w:num w:numId="17">
    <w:abstractNumId w:val="16"/>
  </w:num>
  <w:num w:numId="18">
    <w:abstractNumId w:val="17"/>
  </w:num>
  <w:num w:numId="19">
    <w:abstractNumId w:val="11"/>
  </w:num>
  <w:num w:numId="20">
    <w:abstractNumId w:val="14"/>
  </w:num>
  <w:num w:numId="21">
    <w:abstractNumId w:val="32"/>
  </w:num>
  <w:num w:numId="22">
    <w:abstractNumId w:val="12"/>
  </w:num>
  <w:num w:numId="23">
    <w:abstractNumId w:val="30"/>
  </w:num>
  <w:num w:numId="24">
    <w:abstractNumId w:val="31"/>
  </w:num>
  <w:num w:numId="25">
    <w:abstractNumId w:val="13"/>
  </w:num>
  <w:num w:numId="26">
    <w:abstractNumId w:val="27"/>
  </w:num>
  <w:num w:numId="27">
    <w:abstractNumId w:val="35"/>
  </w:num>
  <w:num w:numId="28">
    <w:abstractNumId w:val="19"/>
  </w:num>
  <w:num w:numId="29">
    <w:abstractNumId w:val="21"/>
  </w:num>
  <w:num w:numId="30">
    <w:abstractNumId w:val="7"/>
  </w:num>
  <w:num w:numId="31">
    <w:abstractNumId w:val="31"/>
  </w:num>
  <w:num w:numId="32">
    <w:abstractNumId w:val="15"/>
  </w:num>
  <w:num w:numId="33">
    <w:abstractNumId w:val="8"/>
  </w:num>
  <w:num w:numId="34">
    <w:abstractNumId w:val="23"/>
  </w:num>
  <w:num w:numId="35">
    <w:abstractNumId w:val="13"/>
  </w:num>
  <w:num w:numId="36">
    <w:abstractNumId w:val="25"/>
  </w:num>
  <w:num w:numId="37">
    <w:abstractNumId w:val="0"/>
  </w:num>
  <w:num w:numId="38">
    <w:abstractNumId w:val="18"/>
  </w:num>
  <w:num w:numId="39">
    <w:abstractNumId w:val="2"/>
  </w:num>
  <w:num w:numId="40">
    <w:abstractNumId w:val="2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8"/>
    <w:rsid w:val="0000028E"/>
    <w:rsid w:val="00004567"/>
    <w:rsid w:val="000054F8"/>
    <w:rsid w:val="000076D3"/>
    <w:rsid w:val="00007AC2"/>
    <w:rsid w:val="00013F00"/>
    <w:rsid w:val="00013FF8"/>
    <w:rsid w:val="00014AA1"/>
    <w:rsid w:val="000152A1"/>
    <w:rsid w:val="000214F8"/>
    <w:rsid w:val="00021DFD"/>
    <w:rsid w:val="000229E3"/>
    <w:rsid w:val="00023724"/>
    <w:rsid w:val="00024F4B"/>
    <w:rsid w:val="00025212"/>
    <w:rsid w:val="00025A4F"/>
    <w:rsid w:val="00027830"/>
    <w:rsid w:val="00027B05"/>
    <w:rsid w:val="00027B66"/>
    <w:rsid w:val="00031373"/>
    <w:rsid w:val="00031BF5"/>
    <w:rsid w:val="0003318E"/>
    <w:rsid w:val="00034EFA"/>
    <w:rsid w:val="00035CB6"/>
    <w:rsid w:val="00036187"/>
    <w:rsid w:val="00042A41"/>
    <w:rsid w:val="00044F3F"/>
    <w:rsid w:val="0005378E"/>
    <w:rsid w:val="000565F5"/>
    <w:rsid w:val="000578B7"/>
    <w:rsid w:val="00057E2C"/>
    <w:rsid w:val="00061350"/>
    <w:rsid w:val="00061C1C"/>
    <w:rsid w:val="00065FF5"/>
    <w:rsid w:val="00066C8C"/>
    <w:rsid w:val="000702E9"/>
    <w:rsid w:val="00072B52"/>
    <w:rsid w:val="0007431D"/>
    <w:rsid w:val="00075772"/>
    <w:rsid w:val="00077D4A"/>
    <w:rsid w:val="00080348"/>
    <w:rsid w:val="000813F8"/>
    <w:rsid w:val="0008240C"/>
    <w:rsid w:val="00084856"/>
    <w:rsid w:val="00086792"/>
    <w:rsid w:val="00091215"/>
    <w:rsid w:val="000926B3"/>
    <w:rsid w:val="00092DBF"/>
    <w:rsid w:val="00093B52"/>
    <w:rsid w:val="0009596F"/>
    <w:rsid w:val="00097B94"/>
    <w:rsid w:val="000A3521"/>
    <w:rsid w:val="000A3BE8"/>
    <w:rsid w:val="000A6803"/>
    <w:rsid w:val="000A6F93"/>
    <w:rsid w:val="000B40E0"/>
    <w:rsid w:val="000B602A"/>
    <w:rsid w:val="000B7F66"/>
    <w:rsid w:val="000C297F"/>
    <w:rsid w:val="000C2D04"/>
    <w:rsid w:val="000C35AE"/>
    <w:rsid w:val="000C5451"/>
    <w:rsid w:val="000E0274"/>
    <w:rsid w:val="000E295E"/>
    <w:rsid w:val="000E3798"/>
    <w:rsid w:val="000E6D58"/>
    <w:rsid w:val="000E7140"/>
    <w:rsid w:val="000F06C1"/>
    <w:rsid w:val="000F7500"/>
    <w:rsid w:val="00100AD0"/>
    <w:rsid w:val="00101B3A"/>
    <w:rsid w:val="00103352"/>
    <w:rsid w:val="00104EB7"/>
    <w:rsid w:val="0010568B"/>
    <w:rsid w:val="001066D2"/>
    <w:rsid w:val="00107642"/>
    <w:rsid w:val="00111799"/>
    <w:rsid w:val="00113805"/>
    <w:rsid w:val="00114BB5"/>
    <w:rsid w:val="00114C82"/>
    <w:rsid w:val="0011556F"/>
    <w:rsid w:val="00120635"/>
    <w:rsid w:val="00120685"/>
    <w:rsid w:val="0012080A"/>
    <w:rsid w:val="00120E8C"/>
    <w:rsid w:val="00121C03"/>
    <w:rsid w:val="001237B1"/>
    <w:rsid w:val="00127ED9"/>
    <w:rsid w:val="00135CF3"/>
    <w:rsid w:val="001412E2"/>
    <w:rsid w:val="001437F0"/>
    <w:rsid w:val="001462BF"/>
    <w:rsid w:val="001503ED"/>
    <w:rsid w:val="0015050C"/>
    <w:rsid w:val="001544E3"/>
    <w:rsid w:val="00157954"/>
    <w:rsid w:val="00157D06"/>
    <w:rsid w:val="0016033F"/>
    <w:rsid w:val="00160BE7"/>
    <w:rsid w:val="001639BF"/>
    <w:rsid w:val="00165738"/>
    <w:rsid w:val="00170846"/>
    <w:rsid w:val="0017193E"/>
    <w:rsid w:val="00173FCC"/>
    <w:rsid w:val="00174A94"/>
    <w:rsid w:val="00176CF8"/>
    <w:rsid w:val="00177964"/>
    <w:rsid w:val="00180BA6"/>
    <w:rsid w:val="00184734"/>
    <w:rsid w:val="00190CE3"/>
    <w:rsid w:val="0019589F"/>
    <w:rsid w:val="00197DCF"/>
    <w:rsid w:val="001A0CE7"/>
    <w:rsid w:val="001A17B0"/>
    <w:rsid w:val="001A431C"/>
    <w:rsid w:val="001A4BF3"/>
    <w:rsid w:val="001A5A82"/>
    <w:rsid w:val="001B0C29"/>
    <w:rsid w:val="001B1474"/>
    <w:rsid w:val="001B294C"/>
    <w:rsid w:val="001B3631"/>
    <w:rsid w:val="001B3809"/>
    <w:rsid w:val="001B4648"/>
    <w:rsid w:val="001B4B75"/>
    <w:rsid w:val="001B5D5E"/>
    <w:rsid w:val="001B776E"/>
    <w:rsid w:val="001C03E8"/>
    <w:rsid w:val="001C20F5"/>
    <w:rsid w:val="001C4DD3"/>
    <w:rsid w:val="001C6651"/>
    <w:rsid w:val="001C753C"/>
    <w:rsid w:val="001D15B9"/>
    <w:rsid w:val="001D37D4"/>
    <w:rsid w:val="001D5125"/>
    <w:rsid w:val="001D546F"/>
    <w:rsid w:val="001D6D8A"/>
    <w:rsid w:val="001E4AEF"/>
    <w:rsid w:val="001E5E56"/>
    <w:rsid w:val="001E6E58"/>
    <w:rsid w:val="001F09E7"/>
    <w:rsid w:val="001F0A41"/>
    <w:rsid w:val="001F1A77"/>
    <w:rsid w:val="001F1CE5"/>
    <w:rsid w:val="001F24B2"/>
    <w:rsid w:val="001F25D5"/>
    <w:rsid w:val="001F47DF"/>
    <w:rsid w:val="001F6D37"/>
    <w:rsid w:val="001F75C8"/>
    <w:rsid w:val="00201CEC"/>
    <w:rsid w:val="002045D0"/>
    <w:rsid w:val="00205732"/>
    <w:rsid w:val="00214092"/>
    <w:rsid w:val="0021446C"/>
    <w:rsid w:val="00214DC1"/>
    <w:rsid w:val="00216049"/>
    <w:rsid w:val="00216BF1"/>
    <w:rsid w:val="002205D5"/>
    <w:rsid w:val="00221ECF"/>
    <w:rsid w:val="00222E27"/>
    <w:rsid w:val="00225654"/>
    <w:rsid w:val="0022597A"/>
    <w:rsid w:val="002319F4"/>
    <w:rsid w:val="00233971"/>
    <w:rsid w:val="002344FA"/>
    <w:rsid w:val="00234BAC"/>
    <w:rsid w:val="00236948"/>
    <w:rsid w:val="00237E4B"/>
    <w:rsid w:val="002418F3"/>
    <w:rsid w:val="00242980"/>
    <w:rsid w:val="00247936"/>
    <w:rsid w:val="002504D0"/>
    <w:rsid w:val="00251316"/>
    <w:rsid w:val="00252153"/>
    <w:rsid w:val="00253E84"/>
    <w:rsid w:val="00253F8B"/>
    <w:rsid w:val="0025765E"/>
    <w:rsid w:val="002577B4"/>
    <w:rsid w:val="002612E2"/>
    <w:rsid w:val="00265A72"/>
    <w:rsid w:val="00265CA4"/>
    <w:rsid w:val="00270710"/>
    <w:rsid w:val="00270FBE"/>
    <w:rsid w:val="00271196"/>
    <w:rsid w:val="0027238B"/>
    <w:rsid w:val="00273942"/>
    <w:rsid w:val="00273D5D"/>
    <w:rsid w:val="002768A3"/>
    <w:rsid w:val="0028359D"/>
    <w:rsid w:val="00292D3A"/>
    <w:rsid w:val="0029435C"/>
    <w:rsid w:val="00297108"/>
    <w:rsid w:val="00297535"/>
    <w:rsid w:val="002A1437"/>
    <w:rsid w:val="002A2435"/>
    <w:rsid w:val="002A54B9"/>
    <w:rsid w:val="002A640E"/>
    <w:rsid w:val="002B22B3"/>
    <w:rsid w:val="002B2ED8"/>
    <w:rsid w:val="002B71A1"/>
    <w:rsid w:val="002C0825"/>
    <w:rsid w:val="002C147F"/>
    <w:rsid w:val="002C1F1B"/>
    <w:rsid w:val="002C211F"/>
    <w:rsid w:val="002C36E4"/>
    <w:rsid w:val="002C572B"/>
    <w:rsid w:val="002C68C0"/>
    <w:rsid w:val="002D1CC2"/>
    <w:rsid w:val="002D5B76"/>
    <w:rsid w:val="002D6DD1"/>
    <w:rsid w:val="002D77CD"/>
    <w:rsid w:val="002E11F3"/>
    <w:rsid w:val="002E3287"/>
    <w:rsid w:val="002F1897"/>
    <w:rsid w:val="002F25A1"/>
    <w:rsid w:val="002F336A"/>
    <w:rsid w:val="002F3A1F"/>
    <w:rsid w:val="002F5563"/>
    <w:rsid w:val="003012DA"/>
    <w:rsid w:val="00301A45"/>
    <w:rsid w:val="00302620"/>
    <w:rsid w:val="0030353E"/>
    <w:rsid w:val="00303DAA"/>
    <w:rsid w:val="00304F2B"/>
    <w:rsid w:val="00305E72"/>
    <w:rsid w:val="00305EA1"/>
    <w:rsid w:val="003066F5"/>
    <w:rsid w:val="00306AE9"/>
    <w:rsid w:val="003101B8"/>
    <w:rsid w:val="00310B23"/>
    <w:rsid w:val="00312DA0"/>
    <w:rsid w:val="00313325"/>
    <w:rsid w:val="0031377B"/>
    <w:rsid w:val="00314959"/>
    <w:rsid w:val="003207B1"/>
    <w:rsid w:val="0032200A"/>
    <w:rsid w:val="00322341"/>
    <w:rsid w:val="003236C4"/>
    <w:rsid w:val="003246F5"/>
    <w:rsid w:val="0033060A"/>
    <w:rsid w:val="00330838"/>
    <w:rsid w:val="0033314D"/>
    <w:rsid w:val="00333236"/>
    <w:rsid w:val="00334FA4"/>
    <w:rsid w:val="003359B0"/>
    <w:rsid w:val="00335B59"/>
    <w:rsid w:val="00336754"/>
    <w:rsid w:val="003414C3"/>
    <w:rsid w:val="00342BB5"/>
    <w:rsid w:val="003435BC"/>
    <w:rsid w:val="00351B96"/>
    <w:rsid w:val="0035228C"/>
    <w:rsid w:val="003530EB"/>
    <w:rsid w:val="003537D8"/>
    <w:rsid w:val="00354AD4"/>
    <w:rsid w:val="00355D51"/>
    <w:rsid w:val="00356E9A"/>
    <w:rsid w:val="003618F6"/>
    <w:rsid w:val="00363D40"/>
    <w:rsid w:val="00364E77"/>
    <w:rsid w:val="00365870"/>
    <w:rsid w:val="00371C43"/>
    <w:rsid w:val="003723FD"/>
    <w:rsid w:val="00372AEB"/>
    <w:rsid w:val="00377F29"/>
    <w:rsid w:val="00380AAC"/>
    <w:rsid w:val="00380CEE"/>
    <w:rsid w:val="00381675"/>
    <w:rsid w:val="003837CD"/>
    <w:rsid w:val="00384C6C"/>
    <w:rsid w:val="003925F0"/>
    <w:rsid w:val="00395112"/>
    <w:rsid w:val="00396134"/>
    <w:rsid w:val="003978EE"/>
    <w:rsid w:val="003A20DF"/>
    <w:rsid w:val="003A3743"/>
    <w:rsid w:val="003A61A9"/>
    <w:rsid w:val="003A668F"/>
    <w:rsid w:val="003B0173"/>
    <w:rsid w:val="003B1A86"/>
    <w:rsid w:val="003B1E14"/>
    <w:rsid w:val="003B2B08"/>
    <w:rsid w:val="003B4C26"/>
    <w:rsid w:val="003B6DC0"/>
    <w:rsid w:val="003B76CC"/>
    <w:rsid w:val="003C36DF"/>
    <w:rsid w:val="003C44C6"/>
    <w:rsid w:val="003C5019"/>
    <w:rsid w:val="003C51BE"/>
    <w:rsid w:val="003C5D40"/>
    <w:rsid w:val="003D1BD1"/>
    <w:rsid w:val="003D21AA"/>
    <w:rsid w:val="003D33A3"/>
    <w:rsid w:val="003D5D11"/>
    <w:rsid w:val="003D6E88"/>
    <w:rsid w:val="003D7357"/>
    <w:rsid w:val="003E170D"/>
    <w:rsid w:val="003E6638"/>
    <w:rsid w:val="003E6B2C"/>
    <w:rsid w:val="003F0B78"/>
    <w:rsid w:val="003F2D82"/>
    <w:rsid w:val="003F4342"/>
    <w:rsid w:val="003F4B6A"/>
    <w:rsid w:val="003F63D5"/>
    <w:rsid w:val="00400200"/>
    <w:rsid w:val="00400B5E"/>
    <w:rsid w:val="00400CE7"/>
    <w:rsid w:val="00402C08"/>
    <w:rsid w:val="00404A02"/>
    <w:rsid w:val="00404A28"/>
    <w:rsid w:val="00405124"/>
    <w:rsid w:val="00407ADC"/>
    <w:rsid w:val="00407F3B"/>
    <w:rsid w:val="00411261"/>
    <w:rsid w:val="00411D0F"/>
    <w:rsid w:val="00412D71"/>
    <w:rsid w:val="00414B41"/>
    <w:rsid w:val="0041569C"/>
    <w:rsid w:val="004172C6"/>
    <w:rsid w:val="00420105"/>
    <w:rsid w:val="0042598F"/>
    <w:rsid w:val="00426F15"/>
    <w:rsid w:val="004325A8"/>
    <w:rsid w:val="004328E7"/>
    <w:rsid w:val="00432A57"/>
    <w:rsid w:val="004354B4"/>
    <w:rsid w:val="0043610B"/>
    <w:rsid w:val="00442C5F"/>
    <w:rsid w:val="004430EA"/>
    <w:rsid w:val="004436EF"/>
    <w:rsid w:val="004442B2"/>
    <w:rsid w:val="004464AE"/>
    <w:rsid w:val="00447EED"/>
    <w:rsid w:val="00451DA9"/>
    <w:rsid w:val="00454F08"/>
    <w:rsid w:val="00457463"/>
    <w:rsid w:val="00457653"/>
    <w:rsid w:val="00457A34"/>
    <w:rsid w:val="00461D85"/>
    <w:rsid w:val="00461EA3"/>
    <w:rsid w:val="00462ABE"/>
    <w:rsid w:val="0046532A"/>
    <w:rsid w:val="0046787E"/>
    <w:rsid w:val="004707A2"/>
    <w:rsid w:val="00472E8E"/>
    <w:rsid w:val="0048144D"/>
    <w:rsid w:val="00482234"/>
    <w:rsid w:val="004831E3"/>
    <w:rsid w:val="00483F68"/>
    <w:rsid w:val="00484B5E"/>
    <w:rsid w:val="00494A69"/>
    <w:rsid w:val="004962FA"/>
    <w:rsid w:val="004964AE"/>
    <w:rsid w:val="00497B3B"/>
    <w:rsid w:val="004A0DAB"/>
    <w:rsid w:val="004A1931"/>
    <w:rsid w:val="004A2480"/>
    <w:rsid w:val="004A28AC"/>
    <w:rsid w:val="004A2A72"/>
    <w:rsid w:val="004A4D18"/>
    <w:rsid w:val="004A4D50"/>
    <w:rsid w:val="004B02CD"/>
    <w:rsid w:val="004B0355"/>
    <w:rsid w:val="004B2A7A"/>
    <w:rsid w:val="004B2FFD"/>
    <w:rsid w:val="004B48DD"/>
    <w:rsid w:val="004B4DD2"/>
    <w:rsid w:val="004B5D84"/>
    <w:rsid w:val="004B6F5F"/>
    <w:rsid w:val="004B79DF"/>
    <w:rsid w:val="004C02AC"/>
    <w:rsid w:val="004C3163"/>
    <w:rsid w:val="004C4B84"/>
    <w:rsid w:val="004C6813"/>
    <w:rsid w:val="004C769E"/>
    <w:rsid w:val="004D06E6"/>
    <w:rsid w:val="004D2357"/>
    <w:rsid w:val="004D3223"/>
    <w:rsid w:val="004D3B80"/>
    <w:rsid w:val="004D650F"/>
    <w:rsid w:val="004E463E"/>
    <w:rsid w:val="004E50BF"/>
    <w:rsid w:val="004E5D70"/>
    <w:rsid w:val="004E6FED"/>
    <w:rsid w:val="004F025A"/>
    <w:rsid w:val="004F64F4"/>
    <w:rsid w:val="004F6D2C"/>
    <w:rsid w:val="005013AF"/>
    <w:rsid w:val="00501FF8"/>
    <w:rsid w:val="00512C33"/>
    <w:rsid w:val="00512EC2"/>
    <w:rsid w:val="005155AA"/>
    <w:rsid w:val="00516958"/>
    <w:rsid w:val="00517130"/>
    <w:rsid w:val="00526CFD"/>
    <w:rsid w:val="005306CB"/>
    <w:rsid w:val="00531E60"/>
    <w:rsid w:val="00536150"/>
    <w:rsid w:val="00537C73"/>
    <w:rsid w:val="00540FD2"/>
    <w:rsid w:val="00541723"/>
    <w:rsid w:val="00543E62"/>
    <w:rsid w:val="00550D6D"/>
    <w:rsid w:val="0055160E"/>
    <w:rsid w:val="00552755"/>
    <w:rsid w:val="00552861"/>
    <w:rsid w:val="00553D6F"/>
    <w:rsid w:val="005547FE"/>
    <w:rsid w:val="00557012"/>
    <w:rsid w:val="00557082"/>
    <w:rsid w:val="00557FBC"/>
    <w:rsid w:val="00561B41"/>
    <w:rsid w:val="00562BCE"/>
    <w:rsid w:val="00567178"/>
    <w:rsid w:val="00570FF3"/>
    <w:rsid w:val="00571670"/>
    <w:rsid w:val="00573628"/>
    <w:rsid w:val="00581839"/>
    <w:rsid w:val="0058288E"/>
    <w:rsid w:val="00582BC0"/>
    <w:rsid w:val="005843AB"/>
    <w:rsid w:val="005865E6"/>
    <w:rsid w:val="00586E85"/>
    <w:rsid w:val="00592BD9"/>
    <w:rsid w:val="005935FC"/>
    <w:rsid w:val="00593C83"/>
    <w:rsid w:val="00595840"/>
    <w:rsid w:val="005A0C34"/>
    <w:rsid w:val="005A1393"/>
    <w:rsid w:val="005A49C3"/>
    <w:rsid w:val="005A57AB"/>
    <w:rsid w:val="005A583C"/>
    <w:rsid w:val="005A607A"/>
    <w:rsid w:val="005A6DDA"/>
    <w:rsid w:val="005A78FA"/>
    <w:rsid w:val="005B2A02"/>
    <w:rsid w:val="005B42AA"/>
    <w:rsid w:val="005B6779"/>
    <w:rsid w:val="005B6ED5"/>
    <w:rsid w:val="005B7B0F"/>
    <w:rsid w:val="005B7D76"/>
    <w:rsid w:val="005C0FB7"/>
    <w:rsid w:val="005C665C"/>
    <w:rsid w:val="005D013D"/>
    <w:rsid w:val="005D0610"/>
    <w:rsid w:val="005D076C"/>
    <w:rsid w:val="005D0770"/>
    <w:rsid w:val="005D0934"/>
    <w:rsid w:val="005D0C79"/>
    <w:rsid w:val="005D22CC"/>
    <w:rsid w:val="005D4A58"/>
    <w:rsid w:val="005D4FE7"/>
    <w:rsid w:val="005D5912"/>
    <w:rsid w:val="005D7357"/>
    <w:rsid w:val="005D7A1D"/>
    <w:rsid w:val="005D7E62"/>
    <w:rsid w:val="005D7F6B"/>
    <w:rsid w:val="005E07AC"/>
    <w:rsid w:val="005E1568"/>
    <w:rsid w:val="005E2585"/>
    <w:rsid w:val="005E2B9B"/>
    <w:rsid w:val="005E34B5"/>
    <w:rsid w:val="005E38C9"/>
    <w:rsid w:val="005E50BB"/>
    <w:rsid w:val="005E72C1"/>
    <w:rsid w:val="005E7497"/>
    <w:rsid w:val="005F2D37"/>
    <w:rsid w:val="005F4CE0"/>
    <w:rsid w:val="005F718E"/>
    <w:rsid w:val="006003F2"/>
    <w:rsid w:val="00603359"/>
    <w:rsid w:val="00603A68"/>
    <w:rsid w:val="00606394"/>
    <w:rsid w:val="006069B5"/>
    <w:rsid w:val="00606D3F"/>
    <w:rsid w:val="00610083"/>
    <w:rsid w:val="0061087C"/>
    <w:rsid w:val="00610BF9"/>
    <w:rsid w:val="00613512"/>
    <w:rsid w:val="0061405B"/>
    <w:rsid w:val="006149AC"/>
    <w:rsid w:val="006172B9"/>
    <w:rsid w:val="0062084A"/>
    <w:rsid w:val="00625C4A"/>
    <w:rsid w:val="00625E6B"/>
    <w:rsid w:val="0062600C"/>
    <w:rsid w:val="00630C10"/>
    <w:rsid w:val="00632127"/>
    <w:rsid w:val="00634539"/>
    <w:rsid w:val="00636B23"/>
    <w:rsid w:val="0063783D"/>
    <w:rsid w:val="00640B3A"/>
    <w:rsid w:val="006423A0"/>
    <w:rsid w:val="006426FC"/>
    <w:rsid w:val="00643EB8"/>
    <w:rsid w:val="00645127"/>
    <w:rsid w:val="00647903"/>
    <w:rsid w:val="00647938"/>
    <w:rsid w:val="00651F73"/>
    <w:rsid w:val="00657525"/>
    <w:rsid w:val="006602BB"/>
    <w:rsid w:val="00660D4A"/>
    <w:rsid w:val="00664807"/>
    <w:rsid w:val="00664826"/>
    <w:rsid w:val="00666E81"/>
    <w:rsid w:val="0067116A"/>
    <w:rsid w:val="00671507"/>
    <w:rsid w:val="00671B13"/>
    <w:rsid w:val="00672EEA"/>
    <w:rsid w:val="00673392"/>
    <w:rsid w:val="00673C5F"/>
    <w:rsid w:val="00674AF5"/>
    <w:rsid w:val="00676613"/>
    <w:rsid w:val="00680B81"/>
    <w:rsid w:val="00681CBE"/>
    <w:rsid w:val="00682C4A"/>
    <w:rsid w:val="00684B38"/>
    <w:rsid w:val="0068501C"/>
    <w:rsid w:val="006850F2"/>
    <w:rsid w:val="00686C3D"/>
    <w:rsid w:val="0068701B"/>
    <w:rsid w:val="00687E4C"/>
    <w:rsid w:val="00691C27"/>
    <w:rsid w:val="006935A2"/>
    <w:rsid w:val="00693879"/>
    <w:rsid w:val="00695ABA"/>
    <w:rsid w:val="00696100"/>
    <w:rsid w:val="006962CB"/>
    <w:rsid w:val="00697F27"/>
    <w:rsid w:val="006A049A"/>
    <w:rsid w:val="006A1407"/>
    <w:rsid w:val="006A2819"/>
    <w:rsid w:val="006A29D2"/>
    <w:rsid w:val="006A34EE"/>
    <w:rsid w:val="006A4770"/>
    <w:rsid w:val="006A57D6"/>
    <w:rsid w:val="006A598B"/>
    <w:rsid w:val="006A5D8C"/>
    <w:rsid w:val="006B064C"/>
    <w:rsid w:val="006B0777"/>
    <w:rsid w:val="006B29AA"/>
    <w:rsid w:val="006B4992"/>
    <w:rsid w:val="006B6FF9"/>
    <w:rsid w:val="006C00D3"/>
    <w:rsid w:val="006C00F5"/>
    <w:rsid w:val="006C0695"/>
    <w:rsid w:val="006C06A4"/>
    <w:rsid w:val="006C09A2"/>
    <w:rsid w:val="006C1E5E"/>
    <w:rsid w:val="006C2445"/>
    <w:rsid w:val="006C38DC"/>
    <w:rsid w:val="006C55FC"/>
    <w:rsid w:val="006C6D26"/>
    <w:rsid w:val="006D2337"/>
    <w:rsid w:val="006D463B"/>
    <w:rsid w:val="006D5493"/>
    <w:rsid w:val="006D5FA6"/>
    <w:rsid w:val="006D60CD"/>
    <w:rsid w:val="006E14E9"/>
    <w:rsid w:val="006E2653"/>
    <w:rsid w:val="006E31E0"/>
    <w:rsid w:val="006E51B8"/>
    <w:rsid w:val="006E6CCD"/>
    <w:rsid w:val="006E7640"/>
    <w:rsid w:val="006F0B54"/>
    <w:rsid w:val="006F2B5E"/>
    <w:rsid w:val="006F5193"/>
    <w:rsid w:val="006F5CCA"/>
    <w:rsid w:val="006F612F"/>
    <w:rsid w:val="00701C41"/>
    <w:rsid w:val="0070246E"/>
    <w:rsid w:val="0070445A"/>
    <w:rsid w:val="00704CC9"/>
    <w:rsid w:val="00710C49"/>
    <w:rsid w:val="00711849"/>
    <w:rsid w:val="00711C2C"/>
    <w:rsid w:val="00713A86"/>
    <w:rsid w:val="00714BD1"/>
    <w:rsid w:val="0072349F"/>
    <w:rsid w:val="0072531D"/>
    <w:rsid w:val="00727CDB"/>
    <w:rsid w:val="0073039F"/>
    <w:rsid w:val="00731FFE"/>
    <w:rsid w:val="007365F6"/>
    <w:rsid w:val="00740589"/>
    <w:rsid w:val="0074202A"/>
    <w:rsid w:val="00747409"/>
    <w:rsid w:val="007502F2"/>
    <w:rsid w:val="00751C5C"/>
    <w:rsid w:val="00751E53"/>
    <w:rsid w:val="00753034"/>
    <w:rsid w:val="007553D1"/>
    <w:rsid w:val="00757DE7"/>
    <w:rsid w:val="00762614"/>
    <w:rsid w:val="00765046"/>
    <w:rsid w:val="00765D37"/>
    <w:rsid w:val="00767EE5"/>
    <w:rsid w:val="007709D7"/>
    <w:rsid w:val="00772E9A"/>
    <w:rsid w:val="00773BCC"/>
    <w:rsid w:val="0077589D"/>
    <w:rsid w:val="0078051C"/>
    <w:rsid w:val="0078407B"/>
    <w:rsid w:val="0078670D"/>
    <w:rsid w:val="00787CE1"/>
    <w:rsid w:val="007904BC"/>
    <w:rsid w:val="00793012"/>
    <w:rsid w:val="00793447"/>
    <w:rsid w:val="007A13DD"/>
    <w:rsid w:val="007A1A8E"/>
    <w:rsid w:val="007A1AA0"/>
    <w:rsid w:val="007A3005"/>
    <w:rsid w:val="007A3C2C"/>
    <w:rsid w:val="007A52CA"/>
    <w:rsid w:val="007A58FB"/>
    <w:rsid w:val="007A63CC"/>
    <w:rsid w:val="007A6D8A"/>
    <w:rsid w:val="007B1304"/>
    <w:rsid w:val="007B1D59"/>
    <w:rsid w:val="007B3EDD"/>
    <w:rsid w:val="007B6357"/>
    <w:rsid w:val="007B64F3"/>
    <w:rsid w:val="007B7E94"/>
    <w:rsid w:val="007C0E48"/>
    <w:rsid w:val="007C222B"/>
    <w:rsid w:val="007C2C0A"/>
    <w:rsid w:val="007C39D0"/>
    <w:rsid w:val="007D1449"/>
    <w:rsid w:val="007D6408"/>
    <w:rsid w:val="007D6AAC"/>
    <w:rsid w:val="007E034F"/>
    <w:rsid w:val="007E26CC"/>
    <w:rsid w:val="007E3425"/>
    <w:rsid w:val="007E6E12"/>
    <w:rsid w:val="007F5C68"/>
    <w:rsid w:val="007F78D3"/>
    <w:rsid w:val="008017E3"/>
    <w:rsid w:val="00802172"/>
    <w:rsid w:val="008036E0"/>
    <w:rsid w:val="00803F87"/>
    <w:rsid w:val="00804465"/>
    <w:rsid w:val="00804579"/>
    <w:rsid w:val="00810646"/>
    <w:rsid w:val="008122FC"/>
    <w:rsid w:val="008174C7"/>
    <w:rsid w:val="00817EB0"/>
    <w:rsid w:val="008219B6"/>
    <w:rsid w:val="00822E58"/>
    <w:rsid w:val="008236CA"/>
    <w:rsid w:val="00824770"/>
    <w:rsid w:val="00825700"/>
    <w:rsid w:val="008257F3"/>
    <w:rsid w:val="00825FF7"/>
    <w:rsid w:val="0082658F"/>
    <w:rsid w:val="00832A6F"/>
    <w:rsid w:val="00835FEF"/>
    <w:rsid w:val="008372A8"/>
    <w:rsid w:val="00837800"/>
    <w:rsid w:val="00841888"/>
    <w:rsid w:val="0084210D"/>
    <w:rsid w:val="00842B7B"/>
    <w:rsid w:val="00842BE2"/>
    <w:rsid w:val="00842EAA"/>
    <w:rsid w:val="008462D2"/>
    <w:rsid w:val="0085337E"/>
    <w:rsid w:val="0085376E"/>
    <w:rsid w:val="00853DFC"/>
    <w:rsid w:val="008546C2"/>
    <w:rsid w:val="00856266"/>
    <w:rsid w:val="008576CD"/>
    <w:rsid w:val="008607AA"/>
    <w:rsid w:val="00860AD1"/>
    <w:rsid w:val="00862711"/>
    <w:rsid w:val="0086397C"/>
    <w:rsid w:val="00863D8E"/>
    <w:rsid w:val="00864650"/>
    <w:rsid w:val="00866422"/>
    <w:rsid w:val="008702C6"/>
    <w:rsid w:val="008714B9"/>
    <w:rsid w:val="008717F3"/>
    <w:rsid w:val="00871B90"/>
    <w:rsid w:val="008729DD"/>
    <w:rsid w:val="00874C33"/>
    <w:rsid w:val="00875D6D"/>
    <w:rsid w:val="008800C1"/>
    <w:rsid w:val="00880758"/>
    <w:rsid w:val="0088229F"/>
    <w:rsid w:val="00883A02"/>
    <w:rsid w:val="00884CE9"/>
    <w:rsid w:val="00886CF2"/>
    <w:rsid w:val="0089360B"/>
    <w:rsid w:val="00895AAA"/>
    <w:rsid w:val="008968EC"/>
    <w:rsid w:val="008A1098"/>
    <w:rsid w:val="008A1440"/>
    <w:rsid w:val="008A47CA"/>
    <w:rsid w:val="008A5D88"/>
    <w:rsid w:val="008A5F11"/>
    <w:rsid w:val="008A799B"/>
    <w:rsid w:val="008B12F0"/>
    <w:rsid w:val="008B5E6F"/>
    <w:rsid w:val="008B6F48"/>
    <w:rsid w:val="008C37E2"/>
    <w:rsid w:val="008C4372"/>
    <w:rsid w:val="008C6A20"/>
    <w:rsid w:val="008D4EB4"/>
    <w:rsid w:val="008D70AE"/>
    <w:rsid w:val="008E0DDC"/>
    <w:rsid w:val="008E2F66"/>
    <w:rsid w:val="008E3F89"/>
    <w:rsid w:val="008E588C"/>
    <w:rsid w:val="008E5EE2"/>
    <w:rsid w:val="008F213C"/>
    <w:rsid w:val="008F53DA"/>
    <w:rsid w:val="008F54E3"/>
    <w:rsid w:val="008F5C47"/>
    <w:rsid w:val="00900793"/>
    <w:rsid w:val="00905259"/>
    <w:rsid w:val="009052E6"/>
    <w:rsid w:val="00905D51"/>
    <w:rsid w:val="009079F0"/>
    <w:rsid w:val="009079FA"/>
    <w:rsid w:val="009105CD"/>
    <w:rsid w:val="0091064A"/>
    <w:rsid w:val="00911B35"/>
    <w:rsid w:val="0091255A"/>
    <w:rsid w:val="00912D15"/>
    <w:rsid w:val="0091790B"/>
    <w:rsid w:val="009217B5"/>
    <w:rsid w:val="00921C08"/>
    <w:rsid w:val="0092266C"/>
    <w:rsid w:val="009243AD"/>
    <w:rsid w:val="00924A99"/>
    <w:rsid w:val="00927BD2"/>
    <w:rsid w:val="009302F2"/>
    <w:rsid w:val="00930A47"/>
    <w:rsid w:val="00931080"/>
    <w:rsid w:val="00931392"/>
    <w:rsid w:val="00937015"/>
    <w:rsid w:val="00940029"/>
    <w:rsid w:val="009403CB"/>
    <w:rsid w:val="00940592"/>
    <w:rsid w:val="00943825"/>
    <w:rsid w:val="00944083"/>
    <w:rsid w:val="00944ACF"/>
    <w:rsid w:val="00944D01"/>
    <w:rsid w:val="009452AC"/>
    <w:rsid w:val="00946E0F"/>
    <w:rsid w:val="00950CA1"/>
    <w:rsid w:val="00951621"/>
    <w:rsid w:val="00951911"/>
    <w:rsid w:val="00952342"/>
    <w:rsid w:val="009530D4"/>
    <w:rsid w:val="00955373"/>
    <w:rsid w:val="00957EBD"/>
    <w:rsid w:val="009613BA"/>
    <w:rsid w:val="00961D0A"/>
    <w:rsid w:val="009621F9"/>
    <w:rsid w:val="0096310E"/>
    <w:rsid w:val="009634D2"/>
    <w:rsid w:val="00964034"/>
    <w:rsid w:val="009666CD"/>
    <w:rsid w:val="00967A28"/>
    <w:rsid w:val="00971073"/>
    <w:rsid w:val="00973545"/>
    <w:rsid w:val="009738DF"/>
    <w:rsid w:val="00973ED2"/>
    <w:rsid w:val="0097445B"/>
    <w:rsid w:val="00974AE3"/>
    <w:rsid w:val="00977167"/>
    <w:rsid w:val="0098122E"/>
    <w:rsid w:val="00982341"/>
    <w:rsid w:val="00983F4D"/>
    <w:rsid w:val="00984123"/>
    <w:rsid w:val="00984184"/>
    <w:rsid w:val="00984FDD"/>
    <w:rsid w:val="0099187E"/>
    <w:rsid w:val="00992592"/>
    <w:rsid w:val="00993575"/>
    <w:rsid w:val="0099475D"/>
    <w:rsid w:val="009951F8"/>
    <w:rsid w:val="009A20D8"/>
    <w:rsid w:val="009A3308"/>
    <w:rsid w:val="009A40AE"/>
    <w:rsid w:val="009A44A4"/>
    <w:rsid w:val="009A7062"/>
    <w:rsid w:val="009A7250"/>
    <w:rsid w:val="009B0F24"/>
    <w:rsid w:val="009B1D32"/>
    <w:rsid w:val="009B409C"/>
    <w:rsid w:val="009B4EBC"/>
    <w:rsid w:val="009B5871"/>
    <w:rsid w:val="009B6035"/>
    <w:rsid w:val="009B71CC"/>
    <w:rsid w:val="009B7A81"/>
    <w:rsid w:val="009C0306"/>
    <w:rsid w:val="009C09DB"/>
    <w:rsid w:val="009C17AC"/>
    <w:rsid w:val="009C281F"/>
    <w:rsid w:val="009C4B0B"/>
    <w:rsid w:val="009C6E38"/>
    <w:rsid w:val="009C6FDB"/>
    <w:rsid w:val="009C7476"/>
    <w:rsid w:val="009D1568"/>
    <w:rsid w:val="009D1B6D"/>
    <w:rsid w:val="009D3782"/>
    <w:rsid w:val="009D5332"/>
    <w:rsid w:val="009E1217"/>
    <w:rsid w:val="009E1F89"/>
    <w:rsid w:val="009E28B9"/>
    <w:rsid w:val="009E2CD4"/>
    <w:rsid w:val="009E4AE3"/>
    <w:rsid w:val="009E52EF"/>
    <w:rsid w:val="009E5491"/>
    <w:rsid w:val="009F03CA"/>
    <w:rsid w:val="009F2CBD"/>
    <w:rsid w:val="009F433D"/>
    <w:rsid w:val="009F45B4"/>
    <w:rsid w:val="009F4ABB"/>
    <w:rsid w:val="009F58AA"/>
    <w:rsid w:val="00A00222"/>
    <w:rsid w:val="00A03B93"/>
    <w:rsid w:val="00A04FF6"/>
    <w:rsid w:val="00A056FF"/>
    <w:rsid w:val="00A07778"/>
    <w:rsid w:val="00A13220"/>
    <w:rsid w:val="00A14604"/>
    <w:rsid w:val="00A154F0"/>
    <w:rsid w:val="00A23EEB"/>
    <w:rsid w:val="00A24F25"/>
    <w:rsid w:val="00A2507A"/>
    <w:rsid w:val="00A25470"/>
    <w:rsid w:val="00A2792B"/>
    <w:rsid w:val="00A3023C"/>
    <w:rsid w:val="00A33F3C"/>
    <w:rsid w:val="00A36B00"/>
    <w:rsid w:val="00A36BCA"/>
    <w:rsid w:val="00A36C35"/>
    <w:rsid w:val="00A40E9E"/>
    <w:rsid w:val="00A41322"/>
    <w:rsid w:val="00A46321"/>
    <w:rsid w:val="00A46805"/>
    <w:rsid w:val="00A47A3F"/>
    <w:rsid w:val="00A5083A"/>
    <w:rsid w:val="00A50E21"/>
    <w:rsid w:val="00A53D60"/>
    <w:rsid w:val="00A55838"/>
    <w:rsid w:val="00A64191"/>
    <w:rsid w:val="00A64B51"/>
    <w:rsid w:val="00A66D17"/>
    <w:rsid w:val="00A676CB"/>
    <w:rsid w:val="00A677A4"/>
    <w:rsid w:val="00A704BD"/>
    <w:rsid w:val="00A71F44"/>
    <w:rsid w:val="00A73D03"/>
    <w:rsid w:val="00A75BF8"/>
    <w:rsid w:val="00A774F7"/>
    <w:rsid w:val="00A81B42"/>
    <w:rsid w:val="00A85480"/>
    <w:rsid w:val="00A870D0"/>
    <w:rsid w:val="00A9199E"/>
    <w:rsid w:val="00A95C03"/>
    <w:rsid w:val="00A96A87"/>
    <w:rsid w:val="00A96F07"/>
    <w:rsid w:val="00A97BD5"/>
    <w:rsid w:val="00AA4AE4"/>
    <w:rsid w:val="00AA74DE"/>
    <w:rsid w:val="00AB2038"/>
    <w:rsid w:val="00AB2E74"/>
    <w:rsid w:val="00AC226C"/>
    <w:rsid w:val="00AC2F1D"/>
    <w:rsid w:val="00AC4701"/>
    <w:rsid w:val="00AC53E4"/>
    <w:rsid w:val="00AC64CF"/>
    <w:rsid w:val="00AC723E"/>
    <w:rsid w:val="00AC767D"/>
    <w:rsid w:val="00AD2562"/>
    <w:rsid w:val="00AD4EBD"/>
    <w:rsid w:val="00AD7093"/>
    <w:rsid w:val="00AD79A7"/>
    <w:rsid w:val="00AD7AAF"/>
    <w:rsid w:val="00AE030C"/>
    <w:rsid w:val="00AE2892"/>
    <w:rsid w:val="00AF15AB"/>
    <w:rsid w:val="00AF3404"/>
    <w:rsid w:val="00AF3C5A"/>
    <w:rsid w:val="00B0037A"/>
    <w:rsid w:val="00B007E8"/>
    <w:rsid w:val="00B04D6D"/>
    <w:rsid w:val="00B05212"/>
    <w:rsid w:val="00B06DC0"/>
    <w:rsid w:val="00B07E19"/>
    <w:rsid w:val="00B10585"/>
    <w:rsid w:val="00B115B2"/>
    <w:rsid w:val="00B12409"/>
    <w:rsid w:val="00B134D0"/>
    <w:rsid w:val="00B1395E"/>
    <w:rsid w:val="00B13F6C"/>
    <w:rsid w:val="00B14FB7"/>
    <w:rsid w:val="00B15719"/>
    <w:rsid w:val="00B15962"/>
    <w:rsid w:val="00B16B53"/>
    <w:rsid w:val="00B1738A"/>
    <w:rsid w:val="00B20ACD"/>
    <w:rsid w:val="00B21E87"/>
    <w:rsid w:val="00B22DAB"/>
    <w:rsid w:val="00B25B4C"/>
    <w:rsid w:val="00B26178"/>
    <w:rsid w:val="00B26E83"/>
    <w:rsid w:val="00B30185"/>
    <w:rsid w:val="00B32177"/>
    <w:rsid w:val="00B338A5"/>
    <w:rsid w:val="00B34598"/>
    <w:rsid w:val="00B36760"/>
    <w:rsid w:val="00B40830"/>
    <w:rsid w:val="00B418B4"/>
    <w:rsid w:val="00B41941"/>
    <w:rsid w:val="00B41D2D"/>
    <w:rsid w:val="00B4448E"/>
    <w:rsid w:val="00B470A5"/>
    <w:rsid w:val="00B54A2E"/>
    <w:rsid w:val="00B5509E"/>
    <w:rsid w:val="00B55261"/>
    <w:rsid w:val="00B55FDD"/>
    <w:rsid w:val="00B5683F"/>
    <w:rsid w:val="00B576F4"/>
    <w:rsid w:val="00B60374"/>
    <w:rsid w:val="00B63294"/>
    <w:rsid w:val="00B7479E"/>
    <w:rsid w:val="00B77AB5"/>
    <w:rsid w:val="00B80293"/>
    <w:rsid w:val="00B82003"/>
    <w:rsid w:val="00B84EB6"/>
    <w:rsid w:val="00B86D5E"/>
    <w:rsid w:val="00B908BC"/>
    <w:rsid w:val="00B90F81"/>
    <w:rsid w:val="00B93F26"/>
    <w:rsid w:val="00B940CE"/>
    <w:rsid w:val="00B94FE2"/>
    <w:rsid w:val="00B96065"/>
    <w:rsid w:val="00BA2ECE"/>
    <w:rsid w:val="00BA3A84"/>
    <w:rsid w:val="00BA43CA"/>
    <w:rsid w:val="00BA6197"/>
    <w:rsid w:val="00BA7FE4"/>
    <w:rsid w:val="00BB228D"/>
    <w:rsid w:val="00BB23F6"/>
    <w:rsid w:val="00BB2E7C"/>
    <w:rsid w:val="00BB69AA"/>
    <w:rsid w:val="00BB6F60"/>
    <w:rsid w:val="00BC0A4C"/>
    <w:rsid w:val="00BC303A"/>
    <w:rsid w:val="00BC3C69"/>
    <w:rsid w:val="00BC460A"/>
    <w:rsid w:val="00BC5793"/>
    <w:rsid w:val="00BD12DF"/>
    <w:rsid w:val="00BD2E2F"/>
    <w:rsid w:val="00BD41B7"/>
    <w:rsid w:val="00BD4641"/>
    <w:rsid w:val="00BD6416"/>
    <w:rsid w:val="00BD686A"/>
    <w:rsid w:val="00BE2795"/>
    <w:rsid w:val="00BF13BF"/>
    <w:rsid w:val="00BF3117"/>
    <w:rsid w:val="00BF5F67"/>
    <w:rsid w:val="00BF6D22"/>
    <w:rsid w:val="00C00D7F"/>
    <w:rsid w:val="00C00FB9"/>
    <w:rsid w:val="00C0300E"/>
    <w:rsid w:val="00C05E3E"/>
    <w:rsid w:val="00C05FB0"/>
    <w:rsid w:val="00C06FBB"/>
    <w:rsid w:val="00C07533"/>
    <w:rsid w:val="00C0756A"/>
    <w:rsid w:val="00C07F0A"/>
    <w:rsid w:val="00C10776"/>
    <w:rsid w:val="00C109B6"/>
    <w:rsid w:val="00C144AC"/>
    <w:rsid w:val="00C154C5"/>
    <w:rsid w:val="00C202C6"/>
    <w:rsid w:val="00C2318F"/>
    <w:rsid w:val="00C25329"/>
    <w:rsid w:val="00C409D7"/>
    <w:rsid w:val="00C41563"/>
    <w:rsid w:val="00C4174D"/>
    <w:rsid w:val="00C446AA"/>
    <w:rsid w:val="00C449DA"/>
    <w:rsid w:val="00C47E10"/>
    <w:rsid w:val="00C508EB"/>
    <w:rsid w:val="00C50918"/>
    <w:rsid w:val="00C51279"/>
    <w:rsid w:val="00C56B38"/>
    <w:rsid w:val="00C56BBB"/>
    <w:rsid w:val="00C56E48"/>
    <w:rsid w:val="00C603F6"/>
    <w:rsid w:val="00C635DE"/>
    <w:rsid w:val="00C64620"/>
    <w:rsid w:val="00C64876"/>
    <w:rsid w:val="00C666EB"/>
    <w:rsid w:val="00C66A76"/>
    <w:rsid w:val="00C700CD"/>
    <w:rsid w:val="00C70783"/>
    <w:rsid w:val="00C715CF"/>
    <w:rsid w:val="00C72437"/>
    <w:rsid w:val="00C7296F"/>
    <w:rsid w:val="00C72D08"/>
    <w:rsid w:val="00C77D36"/>
    <w:rsid w:val="00C800F8"/>
    <w:rsid w:val="00C8376E"/>
    <w:rsid w:val="00C840C3"/>
    <w:rsid w:val="00C936EC"/>
    <w:rsid w:val="00C97E23"/>
    <w:rsid w:val="00CA0F56"/>
    <w:rsid w:val="00CA101E"/>
    <w:rsid w:val="00CA184C"/>
    <w:rsid w:val="00CA2631"/>
    <w:rsid w:val="00CA2C52"/>
    <w:rsid w:val="00CA2E3E"/>
    <w:rsid w:val="00CA7156"/>
    <w:rsid w:val="00CB1A31"/>
    <w:rsid w:val="00CB2180"/>
    <w:rsid w:val="00CB4645"/>
    <w:rsid w:val="00CB6F68"/>
    <w:rsid w:val="00CB7439"/>
    <w:rsid w:val="00CB75CD"/>
    <w:rsid w:val="00CC11F5"/>
    <w:rsid w:val="00CC2109"/>
    <w:rsid w:val="00CC23DA"/>
    <w:rsid w:val="00CC2C76"/>
    <w:rsid w:val="00CC605B"/>
    <w:rsid w:val="00CC798E"/>
    <w:rsid w:val="00CD0FF5"/>
    <w:rsid w:val="00CD1029"/>
    <w:rsid w:val="00CD74D2"/>
    <w:rsid w:val="00CE0925"/>
    <w:rsid w:val="00CE21D3"/>
    <w:rsid w:val="00CE3CC2"/>
    <w:rsid w:val="00CE422C"/>
    <w:rsid w:val="00CE75B2"/>
    <w:rsid w:val="00CF083B"/>
    <w:rsid w:val="00CF1E11"/>
    <w:rsid w:val="00CF24CC"/>
    <w:rsid w:val="00CF4093"/>
    <w:rsid w:val="00CF447A"/>
    <w:rsid w:val="00CF4798"/>
    <w:rsid w:val="00CF52B7"/>
    <w:rsid w:val="00CF5FE2"/>
    <w:rsid w:val="00CF7D25"/>
    <w:rsid w:val="00D003D4"/>
    <w:rsid w:val="00D00614"/>
    <w:rsid w:val="00D00ED8"/>
    <w:rsid w:val="00D0157B"/>
    <w:rsid w:val="00D01D68"/>
    <w:rsid w:val="00D02914"/>
    <w:rsid w:val="00D03C3A"/>
    <w:rsid w:val="00D04D8E"/>
    <w:rsid w:val="00D06618"/>
    <w:rsid w:val="00D06CBE"/>
    <w:rsid w:val="00D0782F"/>
    <w:rsid w:val="00D07E61"/>
    <w:rsid w:val="00D1240C"/>
    <w:rsid w:val="00D131C3"/>
    <w:rsid w:val="00D137FF"/>
    <w:rsid w:val="00D14ED8"/>
    <w:rsid w:val="00D15C40"/>
    <w:rsid w:val="00D15E1F"/>
    <w:rsid w:val="00D16296"/>
    <w:rsid w:val="00D17006"/>
    <w:rsid w:val="00D1781F"/>
    <w:rsid w:val="00D17949"/>
    <w:rsid w:val="00D20836"/>
    <w:rsid w:val="00D2196E"/>
    <w:rsid w:val="00D221F6"/>
    <w:rsid w:val="00D25010"/>
    <w:rsid w:val="00D25777"/>
    <w:rsid w:val="00D25BC6"/>
    <w:rsid w:val="00D275E9"/>
    <w:rsid w:val="00D301C3"/>
    <w:rsid w:val="00D30FBE"/>
    <w:rsid w:val="00D31B7A"/>
    <w:rsid w:val="00D32633"/>
    <w:rsid w:val="00D34BE1"/>
    <w:rsid w:val="00D4021C"/>
    <w:rsid w:val="00D40B6E"/>
    <w:rsid w:val="00D4116C"/>
    <w:rsid w:val="00D42CA6"/>
    <w:rsid w:val="00D42D10"/>
    <w:rsid w:val="00D450A5"/>
    <w:rsid w:val="00D4677A"/>
    <w:rsid w:val="00D510F4"/>
    <w:rsid w:val="00D51272"/>
    <w:rsid w:val="00D54C0B"/>
    <w:rsid w:val="00D5621B"/>
    <w:rsid w:val="00D56891"/>
    <w:rsid w:val="00D5718B"/>
    <w:rsid w:val="00D5786A"/>
    <w:rsid w:val="00D618C9"/>
    <w:rsid w:val="00D628C3"/>
    <w:rsid w:val="00D62E6E"/>
    <w:rsid w:val="00D6578C"/>
    <w:rsid w:val="00D66C9F"/>
    <w:rsid w:val="00D677DB"/>
    <w:rsid w:val="00D7211D"/>
    <w:rsid w:val="00D73894"/>
    <w:rsid w:val="00D73EEE"/>
    <w:rsid w:val="00D74F8B"/>
    <w:rsid w:val="00D75AF1"/>
    <w:rsid w:val="00D82321"/>
    <w:rsid w:val="00D8257A"/>
    <w:rsid w:val="00D82C62"/>
    <w:rsid w:val="00D83328"/>
    <w:rsid w:val="00D83A63"/>
    <w:rsid w:val="00D84696"/>
    <w:rsid w:val="00D855C4"/>
    <w:rsid w:val="00D85F2B"/>
    <w:rsid w:val="00D87079"/>
    <w:rsid w:val="00D90653"/>
    <w:rsid w:val="00D930F4"/>
    <w:rsid w:val="00D933FA"/>
    <w:rsid w:val="00D97833"/>
    <w:rsid w:val="00DA2799"/>
    <w:rsid w:val="00DA3320"/>
    <w:rsid w:val="00DA6B8C"/>
    <w:rsid w:val="00DA7E3C"/>
    <w:rsid w:val="00DB011A"/>
    <w:rsid w:val="00DB075A"/>
    <w:rsid w:val="00DB0921"/>
    <w:rsid w:val="00DB359F"/>
    <w:rsid w:val="00DB5907"/>
    <w:rsid w:val="00DB6446"/>
    <w:rsid w:val="00DB7A02"/>
    <w:rsid w:val="00DB7A74"/>
    <w:rsid w:val="00DC04C6"/>
    <w:rsid w:val="00DC15C8"/>
    <w:rsid w:val="00DC33CE"/>
    <w:rsid w:val="00DD34C8"/>
    <w:rsid w:val="00DD34EE"/>
    <w:rsid w:val="00DD66DB"/>
    <w:rsid w:val="00DE1EBC"/>
    <w:rsid w:val="00DE2077"/>
    <w:rsid w:val="00DE3453"/>
    <w:rsid w:val="00DE5A33"/>
    <w:rsid w:val="00DE6BC3"/>
    <w:rsid w:val="00DE6C12"/>
    <w:rsid w:val="00DE7017"/>
    <w:rsid w:val="00DF21DF"/>
    <w:rsid w:val="00DF2E90"/>
    <w:rsid w:val="00DF770D"/>
    <w:rsid w:val="00E000B9"/>
    <w:rsid w:val="00E012A2"/>
    <w:rsid w:val="00E04484"/>
    <w:rsid w:val="00E07B88"/>
    <w:rsid w:val="00E10C85"/>
    <w:rsid w:val="00E11537"/>
    <w:rsid w:val="00E1401F"/>
    <w:rsid w:val="00E1509E"/>
    <w:rsid w:val="00E1564F"/>
    <w:rsid w:val="00E15F4E"/>
    <w:rsid w:val="00E16BC7"/>
    <w:rsid w:val="00E208EC"/>
    <w:rsid w:val="00E21C3C"/>
    <w:rsid w:val="00E22660"/>
    <w:rsid w:val="00E2338F"/>
    <w:rsid w:val="00E24A9E"/>
    <w:rsid w:val="00E26022"/>
    <w:rsid w:val="00E312B8"/>
    <w:rsid w:val="00E31E00"/>
    <w:rsid w:val="00E33F01"/>
    <w:rsid w:val="00E34A04"/>
    <w:rsid w:val="00E35F01"/>
    <w:rsid w:val="00E36343"/>
    <w:rsid w:val="00E371C4"/>
    <w:rsid w:val="00E37261"/>
    <w:rsid w:val="00E37452"/>
    <w:rsid w:val="00E41CD8"/>
    <w:rsid w:val="00E44E76"/>
    <w:rsid w:val="00E465B3"/>
    <w:rsid w:val="00E47C5F"/>
    <w:rsid w:val="00E47D1A"/>
    <w:rsid w:val="00E50606"/>
    <w:rsid w:val="00E517B6"/>
    <w:rsid w:val="00E51EFC"/>
    <w:rsid w:val="00E549A7"/>
    <w:rsid w:val="00E55EE3"/>
    <w:rsid w:val="00E56C15"/>
    <w:rsid w:val="00E6102E"/>
    <w:rsid w:val="00E624E8"/>
    <w:rsid w:val="00E6283E"/>
    <w:rsid w:val="00E62B83"/>
    <w:rsid w:val="00E651AD"/>
    <w:rsid w:val="00E7060D"/>
    <w:rsid w:val="00E72364"/>
    <w:rsid w:val="00E7436B"/>
    <w:rsid w:val="00E74BD5"/>
    <w:rsid w:val="00E803AC"/>
    <w:rsid w:val="00E80ACB"/>
    <w:rsid w:val="00E81577"/>
    <w:rsid w:val="00E83940"/>
    <w:rsid w:val="00E85295"/>
    <w:rsid w:val="00E86FC9"/>
    <w:rsid w:val="00E94590"/>
    <w:rsid w:val="00E94A5F"/>
    <w:rsid w:val="00EA19F7"/>
    <w:rsid w:val="00EA2815"/>
    <w:rsid w:val="00EA6343"/>
    <w:rsid w:val="00EB1383"/>
    <w:rsid w:val="00EB2ECD"/>
    <w:rsid w:val="00EB420C"/>
    <w:rsid w:val="00EB6D17"/>
    <w:rsid w:val="00EC2CFD"/>
    <w:rsid w:val="00EC312B"/>
    <w:rsid w:val="00EC43AA"/>
    <w:rsid w:val="00EC4A82"/>
    <w:rsid w:val="00EC50F8"/>
    <w:rsid w:val="00ED1802"/>
    <w:rsid w:val="00ED4559"/>
    <w:rsid w:val="00ED6075"/>
    <w:rsid w:val="00EE02EA"/>
    <w:rsid w:val="00EE0B5B"/>
    <w:rsid w:val="00EE253A"/>
    <w:rsid w:val="00EE3D22"/>
    <w:rsid w:val="00EE568B"/>
    <w:rsid w:val="00EE65B2"/>
    <w:rsid w:val="00EF036C"/>
    <w:rsid w:val="00EF2DAB"/>
    <w:rsid w:val="00EF64BF"/>
    <w:rsid w:val="00F0282F"/>
    <w:rsid w:val="00F03952"/>
    <w:rsid w:val="00F05775"/>
    <w:rsid w:val="00F06522"/>
    <w:rsid w:val="00F06A80"/>
    <w:rsid w:val="00F074A4"/>
    <w:rsid w:val="00F10CAD"/>
    <w:rsid w:val="00F148AD"/>
    <w:rsid w:val="00F14B5F"/>
    <w:rsid w:val="00F1514E"/>
    <w:rsid w:val="00F15B5E"/>
    <w:rsid w:val="00F16594"/>
    <w:rsid w:val="00F177B4"/>
    <w:rsid w:val="00F17D70"/>
    <w:rsid w:val="00F231CA"/>
    <w:rsid w:val="00F27F2D"/>
    <w:rsid w:val="00F305D0"/>
    <w:rsid w:val="00F41914"/>
    <w:rsid w:val="00F41C65"/>
    <w:rsid w:val="00F421E9"/>
    <w:rsid w:val="00F44102"/>
    <w:rsid w:val="00F455D9"/>
    <w:rsid w:val="00F45D46"/>
    <w:rsid w:val="00F540D7"/>
    <w:rsid w:val="00F54132"/>
    <w:rsid w:val="00F54825"/>
    <w:rsid w:val="00F57F84"/>
    <w:rsid w:val="00F60CB7"/>
    <w:rsid w:val="00F60FC3"/>
    <w:rsid w:val="00F62158"/>
    <w:rsid w:val="00F6290C"/>
    <w:rsid w:val="00F62CAF"/>
    <w:rsid w:val="00F6308C"/>
    <w:rsid w:val="00F63130"/>
    <w:rsid w:val="00F646DE"/>
    <w:rsid w:val="00F700DB"/>
    <w:rsid w:val="00F73F84"/>
    <w:rsid w:val="00F74B43"/>
    <w:rsid w:val="00F756EA"/>
    <w:rsid w:val="00F7660F"/>
    <w:rsid w:val="00F769EE"/>
    <w:rsid w:val="00F77FA1"/>
    <w:rsid w:val="00F800E0"/>
    <w:rsid w:val="00F81912"/>
    <w:rsid w:val="00F85855"/>
    <w:rsid w:val="00F906C8"/>
    <w:rsid w:val="00F91766"/>
    <w:rsid w:val="00F9217F"/>
    <w:rsid w:val="00F921FB"/>
    <w:rsid w:val="00F92737"/>
    <w:rsid w:val="00F9492E"/>
    <w:rsid w:val="00F95265"/>
    <w:rsid w:val="00F969E8"/>
    <w:rsid w:val="00FA44E0"/>
    <w:rsid w:val="00FA7A74"/>
    <w:rsid w:val="00FB0881"/>
    <w:rsid w:val="00FB25BC"/>
    <w:rsid w:val="00FB4262"/>
    <w:rsid w:val="00FB5F51"/>
    <w:rsid w:val="00FB7AD3"/>
    <w:rsid w:val="00FC6FB6"/>
    <w:rsid w:val="00FC73AC"/>
    <w:rsid w:val="00FD0540"/>
    <w:rsid w:val="00FD2F9E"/>
    <w:rsid w:val="00FD3253"/>
    <w:rsid w:val="00FD331F"/>
    <w:rsid w:val="00FD44B7"/>
    <w:rsid w:val="00FD7E65"/>
    <w:rsid w:val="00FE32CE"/>
    <w:rsid w:val="00FE46DE"/>
    <w:rsid w:val="00FE4B1F"/>
    <w:rsid w:val="00FE4BAA"/>
    <w:rsid w:val="00FE6F86"/>
    <w:rsid w:val="00FF0A8B"/>
    <w:rsid w:val="00FF0FE3"/>
    <w:rsid w:val="00FF5604"/>
    <w:rsid w:val="00FF5BB1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AD5F90"/>
  <w15:chartTrackingRefBased/>
  <w15:docId w15:val="{D2530710-015A-465C-A3E1-8FC7B0E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A5F"/>
    <w:pPr>
      <w:keepNext/>
      <w:keepLines/>
      <w:numPr>
        <w:numId w:val="4"/>
      </w:numPr>
      <w:spacing w:before="240" w:line="259" w:lineRule="auto"/>
      <w:ind w:left="851" w:hanging="851"/>
      <w:outlineLvl w:val="0"/>
    </w:pPr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94A5F"/>
    <w:pPr>
      <w:numPr>
        <w:ilvl w:val="1"/>
      </w:numPr>
      <w:ind w:left="851" w:hanging="851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A5F"/>
    <w:pPr>
      <w:keepNext/>
      <w:keepLines/>
      <w:numPr>
        <w:ilvl w:val="2"/>
        <w:numId w:val="4"/>
      </w:numPr>
      <w:spacing w:before="40" w:line="259" w:lineRule="auto"/>
      <w:ind w:left="1134" w:hanging="1134"/>
      <w:outlineLvl w:val="2"/>
    </w:pPr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A5F"/>
    <w:pPr>
      <w:keepNext/>
      <w:keepLines/>
      <w:numPr>
        <w:ilvl w:val="3"/>
        <w:numId w:val="4"/>
      </w:numPr>
      <w:spacing w:before="360" w:after="120" w:line="259" w:lineRule="auto"/>
      <w:outlineLvl w:val="3"/>
    </w:pPr>
    <w:rPr>
      <w:rFonts w:ascii="Verdana" w:eastAsiaTheme="majorEastAsia" w:hAnsi="Verdana" w:cstheme="majorBidi"/>
      <w:b/>
      <w:color w:val="1F4E79" w:themeColor="accent1" w:themeShade="80"/>
      <w:u w:val="single"/>
      <w:lang w:val="nl-BE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A5F"/>
    <w:pPr>
      <w:keepNext/>
      <w:keepLines/>
      <w:spacing w:before="240" w:line="259" w:lineRule="auto"/>
      <w:outlineLvl w:val="4"/>
    </w:pPr>
    <w:rPr>
      <w:rFonts w:asciiTheme="majorHAnsi" w:hAnsiTheme="majorHAnsi" w:cstheme="majorBidi"/>
      <w:b/>
      <w:color w:val="2E74B5" w:themeColor="accent1" w:themeShade="BF"/>
      <w:u w:val="single"/>
      <w:lang w:val="nl-BE" w:eastAsia="nl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A5F"/>
    <w:pPr>
      <w:keepNext/>
      <w:keepLines/>
      <w:numPr>
        <w:ilvl w:val="5"/>
        <w:numId w:val="4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nl-BE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A5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A5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A5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5F"/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E94A5F"/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E94A5F"/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E94A5F"/>
    <w:rPr>
      <w:rFonts w:ascii="Verdana" w:eastAsiaTheme="majorEastAsia" w:hAnsi="Verdana" w:cstheme="majorBidi"/>
      <w:b/>
      <w:color w:val="1F4E79" w:themeColor="accent1" w:themeShade="80"/>
      <w:sz w:val="24"/>
      <w:szCs w:val="24"/>
      <w:u w:val="single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E94A5F"/>
    <w:rPr>
      <w:rFonts w:asciiTheme="majorHAnsi" w:eastAsia="Times New Roman" w:hAnsiTheme="majorHAnsi" w:cstheme="majorBidi"/>
      <w:b/>
      <w:color w:val="2E74B5" w:themeColor="accent1" w:themeShade="BF"/>
      <w:sz w:val="24"/>
      <w:szCs w:val="24"/>
      <w:u w:val="single"/>
      <w:lang w:val="nl-BE" w:eastAsia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A5F"/>
    <w:rPr>
      <w:rFonts w:asciiTheme="majorHAnsi" w:eastAsiaTheme="majorEastAsia" w:hAnsiTheme="majorHAnsi" w:cstheme="majorBidi"/>
      <w:color w:val="1F4D78" w:themeColor="accent1" w:themeShade="7F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A5F"/>
    <w:rPr>
      <w:rFonts w:asciiTheme="majorHAnsi" w:eastAsiaTheme="majorEastAsia" w:hAnsiTheme="majorHAnsi" w:cstheme="majorBidi"/>
      <w:i/>
      <w:iCs/>
      <w:color w:val="1F4D78" w:themeColor="accent1" w:themeShade="7F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A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character" w:styleId="Hyperlink">
    <w:name w:val="Hyperlink"/>
    <w:basedOn w:val="DefaultParagraphFont"/>
    <w:uiPriority w:val="99"/>
    <w:rsid w:val="00E94A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NoSpacingCharChar">
    <w:name w:val="No Spacing Char Char"/>
    <w:basedOn w:val="DefaultParagraphFont"/>
    <w:link w:val="NoSpacingChar"/>
    <w:uiPriority w:val="99"/>
    <w:rsid w:val="00E94A5F"/>
    <w:rPr>
      <w:rFonts w:eastAsia="Times New Roman"/>
      <w:lang w:val="en-US"/>
    </w:rPr>
  </w:style>
  <w:style w:type="paragraph" w:customStyle="1" w:styleId="NoSpacingChar">
    <w:name w:val="No Spacing Char"/>
    <w:basedOn w:val="Normal"/>
    <w:link w:val="NoSpacingCharChar"/>
    <w:uiPriority w:val="99"/>
    <w:qFormat/>
    <w:rsid w:val="00E94A5F"/>
    <w:rPr>
      <w:rFonts w:ascii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94A5F"/>
    <w:pPr>
      <w:spacing w:after="0" w:line="240" w:lineRule="auto"/>
    </w:pPr>
    <w:rPr>
      <w:lang w:val="nl-BE"/>
    </w:rPr>
  </w:style>
  <w:style w:type="paragraph" w:styleId="Header">
    <w:name w:val="header"/>
    <w:basedOn w:val="Normal"/>
    <w:link w:val="HeaderChar"/>
    <w:uiPriority w:val="99"/>
    <w:unhideWhenUsed/>
    <w:rsid w:val="00E94A5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4A5F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E94A5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A5F"/>
    <w:rPr>
      <w:lang w:val="nl-BE"/>
    </w:rPr>
  </w:style>
  <w:style w:type="character" w:styleId="PageNumber">
    <w:name w:val="page number"/>
    <w:basedOn w:val="DefaultParagraphFont"/>
    <w:rsid w:val="00E94A5F"/>
  </w:style>
  <w:style w:type="paragraph" w:styleId="TOC1">
    <w:name w:val="toc 1"/>
    <w:basedOn w:val="Normal"/>
    <w:next w:val="Normal"/>
    <w:autoRedefine/>
    <w:uiPriority w:val="39"/>
    <w:unhideWhenUsed/>
    <w:rsid w:val="00E94A5F"/>
    <w:pPr>
      <w:spacing w:before="120" w:after="120" w:line="259" w:lineRule="auto"/>
    </w:pPr>
    <w:rPr>
      <w:rFonts w:asciiTheme="minorHAnsi" w:eastAsiaTheme="minorHAnsi" w:hAnsiTheme="minorHAnsi" w:cstheme="minorHAnsi"/>
      <w:b/>
      <w:bCs/>
      <w:caps/>
      <w:sz w:val="20"/>
      <w:szCs w:val="20"/>
      <w:lang w:val="nl-BE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94A5F"/>
    <w:pPr>
      <w:tabs>
        <w:tab w:val="left" w:pos="880"/>
        <w:tab w:val="right" w:leader="dot" w:pos="9016"/>
      </w:tabs>
      <w:spacing w:line="259" w:lineRule="auto"/>
      <w:ind w:left="220"/>
    </w:pPr>
    <w:rPr>
      <w:rFonts w:asciiTheme="minorHAnsi" w:eastAsiaTheme="minorHAnsi" w:hAnsiTheme="minorHAnsi" w:cstheme="minorHAnsi"/>
      <w:b/>
      <w:smallCaps/>
      <w:noProof/>
      <w:sz w:val="20"/>
      <w:szCs w:val="20"/>
      <w:lang w:val="nl-BE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94A5F"/>
    <w:pPr>
      <w:spacing w:line="259" w:lineRule="auto"/>
      <w:ind w:left="440"/>
    </w:pPr>
    <w:rPr>
      <w:rFonts w:asciiTheme="minorHAnsi" w:eastAsiaTheme="minorHAnsi" w:hAnsiTheme="minorHAnsi" w:cstheme="minorHAnsi"/>
      <w:i/>
      <w:iCs/>
      <w:sz w:val="20"/>
      <w:szCs w:val="20"/>
      <w:lang w:val="nl-BE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94A5F"/>
    <w:pPr>
      <w:spacing w:line="259" w:lineRule="auto"/>
      <w:ind w:left="66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94A5F"/>
    <w:pPr>
      <w:spacing w:line="259" w:lineRule="auto"/>
      <w:ind w:left="88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94A5F"/>
    <w:pPr>
      <w:spacing w:line="259" w:lineRule="auto"/>
      <w:ind w:left="110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94A5F"/>
    <w:pPr>
      <w:spacing w:line="259" w:lineRule="auto"/>
      <w:ind w:left="132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94A5F"/>
    <w:pPr>
      <w:spacing w:line="259" w:lineRule="auto"/>
      <w:ind w:left="154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94A5F"/>
    <w:pPr>
      <w:spacing w:line="259" w:lineRule="auto"/>
      <w:ind w:left="176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5F"/>
    <w:rPr>
      <w:rFonts w:ascii="Segoe UI" w:hAnsi="Segoe UI" w:cs="Segoe UI"/>
      <w:sz w:val="18"/>
      <w:szCs w:val="18"/>
      <w:lang w:val="nl-BE"/>
    </w:rPr>
  </w:style>
  <w:style w:type="character" w:customStyle="1" w:styleId="m1">
    <w:name w:val="m1"/>
    <w:basedOn w:val="DefaultParagraphFont"/>
    <w:rsid w:val="00E94A5F"/>
    <w:rPr>
      <w:color w:val="0000FF"/>
    </w:rPr>
  </w:style>
  <w:style w:type="character" w:customStyle="1" w:styleId="pi1">
    <w:name w:val="pi1"/>
    <w:basedOn w:val="DefaultParagraphFont"/>
    <w:rsid w:val="00E94A5F"/>
    <w:rPr>
      <w:color w:val="0000FF"/>
    </w:rPr>
  </w:style>
  <w:style w:type="character" w:customStyle="1" w:styleId="t1">
    <w:name w:val="t1"/>
    <w:basedOn w:val="DefaultParagraphFont"/>
    <w:rsid w:val="00E94A5F"/>
    <w:rPr>
      <w:color w:val="990000"/>
    </w:rPr>
  </w:style>
  <w:style w:type="character" w:customStyle="1" w:styleId="ns1">
    <w:name w:val="ns1"/>
    <w:basedOn w:val="DefaultParagraphFont"/>
    <w:rsid w:val="00E94A5F"/>
    <w:rPr>
      <w:color w:val="FF0000"/>
    </w:rPr>
  </w:style>
  <w:style w:type="character" w:customStyle="1" w:styleId="b1">
    <w:name w:val="b1"/>
    <w:basedOn w:val="DefaultParagraphFont"/>
    <w:rsid w:val="00E94A5F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DefaultParagraphFont"/>
    <w:rsid w:val="00E94A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4A5F"/>
    <w:pPr>
      <w:spacing w:before="100" w:beforeAutospacing="1" w:after="100" w:afterAutospacing="1"/>
    </w:pPr>
    <w:rPr>
      <w:rFonts w:eastAsiaTheme="minorEastAsia"/>
      <w:lang w:eastAsia="nl-BE"/>
    </w:rPr>
  </w:style>
  <w:style w:type="table" w:styleId="TableGrid">
    <w:name w:val="Table Grid"/>
    <w:basedOn w:val="TableNormal"/>
    <w:uiPriority w:val="39"/>
    <w:rsid w:val="00E94A5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94A5F"/>
    <w:pPr>
      <w:outlineLvl w:val="9"/>
    </w:pPr>
    <w:rPr>
      <w:lang w:val="en-US"/>
    </w:rPr>
  </w:style>
  <w:style w:type="character" w:customStyle="1" w:styleId="block">
    <w:name w:val="block"/>
    <w:basedOn w:val="DefaultParagraphFont"/>
    <w:rsid w:val="00E94A5F"/>
  </w:style>
  <w:style w:type="character" w:styleId="CommentReference">
    <w:name w:val="annotation reference"/>
    <w:basedOn w:val="DefaultParagraphFont"/>
    <w:uiPriority w:val="99"/>
    <w:semiHidden/>
    <w:unhideWhenUsed/>
    <w:rsid w:val="00E94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A5F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A5F"/>
    <w:rPr>
      <w:b/>
      <w:bCs/>
      <w:sz w:val="20"/>
      <w:szCs w:val="20"/>
      <w:lang w:val="nl-BE"/>
    </w:rPr>
  </w:style>
  <w:style w:type="paragraph" w:customStyle="1" w:styleId="Heading1a">
    <w:name w:val="Heading 1a"/>
    <w:basedOn w:val="Heading2"/>
    <w:link w:val="Heading1aChar"/>
    <w:rsid w:val="00E94A5F"/>
    <w:pPr>
      <w:numPr>
        <w:numId w:val="2"/>
      </w:numPr>
    </w:pPr>
  </w:style>
  <w:style w:type="character" w:customStyle="1" w:styleId="Heading1aChar">
    <w:name w:val="Heading 1a Char"/>
    <w:basedOn w:val="Heading2Char"/>
    <w:link w:val="Heading1a"/>
    <w:rsid w:val="00E94A5F"/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E94A5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4A5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4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4A5F"/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styleId="Strong">
    <w:name w:val="Strong"/>
    <w:basedOn w:val="DefaultParagraphFont"/>
    <w:uiPriority w:val="22"/>
    <w:qFormat/>
    <w:rsid w:val="00E94A5F"/>
    <w:rPr>
      <w:b/>
      <w:bCs/>
    </w:rPr>
  </w:style>
  <w:style w:type="character" w:customStyle="1" w:styleId="tag">
    <w:name w:val="tag"/>
    <w:basedOn w:val="DefaultParagraphFont"/>
    <w:rsid w:val="00E94A5F"/>
  </w:style>
  <w:style w:type="character" w:customStyle="1" w:styleId="attribute-name">
    <w:name w:val="attribute-name"/>
    <w:basedOn w:val="DefaultParagraphFont"/>
    <w:rsid w:val="00E94A5F"/>
  </w:style>
  <w:style w:type="character" w:customStyle="1" w:styleId="delimiter">
    <w:name w:val="delimiter"/>
    <w:basedOn w:val="DefaultParagraphFont"/>
    <w:rsid w:val="00E94A5F"/>
  </w:style>
  <w:style w:type="character" w:customStyle="1" w:styleId="content">
    <w:name w:val="content"/>
    <w:basedOn w:val="DefaultParagraphFont"/>
    <w:rsid w:val="00E94A5F"/>
  </w:style>
  <w:style w:type="character" w:customStyle="1" w:styleId="pl-c">
    <w:name w:val="pl-c"/>
    <w:basedOn w:val="DefaultParagraphFont"/>
    <w:rsid w:val="00E94A5F"/>
  </w:style>
  <w:style w:type="character" w:customStyle="1" w:styleId="pl-ent">
    <w:name w:val="pl-ent"/>
    <w:basedOn w:val="DefaultParagraphFont"/>
    <w:rsid w:val="00E94A5F"/>
  </w:style>
  <w:style w:type="character" w:customStyle="1" w:styleId="pl-e">
    <w:name w:val="pl-e"/>
    <w:basedOn w:val="DefaultParagraphFont"/>
    <w:rsid w:val="00E94A5F"/>
  </w:style>
  <w:style w:type="character" w:customStyle="1" w:styleId="pl-s">
    <w:name w:val="pl-s"/>
    <w:basedOn w:val="DefaultParagraphFont"/>
    <w:rsid w:val="00E94A5F"/>
  </w:style>
  <w:style w:type="character" w:customStyle="1" w:styleId="pl-pds">
    <w:name w:val="pl-pds"/>
    <w:basedOn w:val="DefaultParagraphFont"/>
    <w:rsid w:val="00E94A5F"/>
  </w:style>
  <w:style w:type="paragraph" w:styleId="FootnoteText">
    <w:name w:val="footnote text"/>
    <w:basedOn w:val="Normal"/>
    <w:link w:val="FootnoteTextChar"/>
    <w:uiPriority w:val="99"/>
    <w:semiHidden/>
    <w:unhideWhenUsed/>
    <w:rsid w:val="00E94A5F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A5F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94A5F"/>
    <w:rPr>
      <w:vertAlign w:val="superscript"/>
    </w:rPr>
  </w:style>
  <w:style w:type="character" w:customStyle="1" w:styleId="pl-ent1">
    <w:name w:val="pl-ent1"/>
    <w:basedOn w:val="DefaultParagraphFont"/>
    <w:rsid w:val="00E94A5F"/>
    <w:rPr>
      <w:color w:val="22863A"/>
    </w:rPr>
  </w:style>
  <w:style w:type="character" w:customStyle="1" w:styleId="pl-e1">
    <w:name w:val="pl-e1"/>
    <w:basedOn w:val="DefaultParagraphFont"/>
    <w:rsid w:val="00E94A5F"/>
    <w:rPr>
      <w:color w:val="6F42C1"/>
    </w:rPr>
  </w:style>
  <w:style w:type="character" w:customStyle="1" w:styleId="pl-s2">
    <w:name w:val="pl-s2"/>
    <w:basedOn w:val="DefaultParagraphFont"/>
    <w:rsid w:val="00E94A5F"/>
    <w:rPr>
      <w:color w:val="032F62"/>
    </w:rPr>
  </w:style>
  <w:style w:type="character" w:customStyle="1" w:styleId="pl-pds1">
    <w:name w:val="pl-pds1"/>
    <w:basedOn w:val="DefaultParagraphFont"/>
    <w:rsid w:val="00E94A5F"/>
    <w:rPr>
      <w:color w:val="032F62"/>
    </w:rPr>
  </w:style>
  <w:style w:type="table" w:customStyle="1" w:styleId="Codesnipets">
    <w:name w:val="Code snipets"/>
    <w:basedOn w:val="TableNormal"/>
    <w:uiPriority w:val="99"/>
    <w:rsid w:val="00E94A5F"/>
    <w:pPr>
      <w:spacing w:after="0" w:line="260" w:lineRule="exact"/>
      <w:ind w:left="227" w:hanging="227"/>
    </w:pPr>
    <w:rPr>
      <w:rFonts w:ascii="Consolas" w:hAnsi="Consolas"/>
      <w:sz w:val="16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shd w:val="clear" w:color="auto" w:fill="DEEAF6" w:themeFill="accent1" w:themeFillTint="33"/>
      </w:tcPr>
    </w:tblStylePr>
  </w:style>
  <w:style w:type="character" w:customStyle="1" w:styleId="pl-c3">
    <w:name w:val="pl-c3"/>
    <w:basedOn w:val="DefaultParagraphFont"/>
    <w:rsid w:val="00E94A5F"/>
    <w:rPr>
      <w:color w:val="6A737D"/>
    </w:rPr>
  </w:style>
  <w:style w:type="character" w:styleId="UnresolvedMention">
    <w:name w:val="Unresolved Mention"/>
    <w:basedOn w:val="DefaultParagraphFont"/>
    <w:uiPriority w:val="99"/>
    <w:semiHidden/>
    <w:unhideWhenUsed/>
    <w:rsid w:val="00C05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bofeb.sharepoint.com/sites/e-InvoicingBusinessExpertsGroup-Stuurgroep/Gedeelde%20documenten/Stuurgroep/Examples%20-%20Cases%20PeppolBisV3/TESTcase10%20-%207.a%20Invoice%20in%20USD%20and%20EUR%20vat%2021.pdf" TargetMode="External"/><Relationship Id="rId18" Type="http://schemas.openxmlformats.org/officeDocument/2006/relationships/hyperlink" Target="https://ec.europa.eu/cefdigital/wiki/display/CEFDIGITAL/Code+list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vbofeb.sharepoint.com/sites/e-InvoicingBusinessExpertsGroup/_layouts/15/Doc.aspx?OR=teams&amp;action=edit&amp;sourcedoc=%7b1DC2A16D-E203-49C9-B388-2431E0B0E3E4%7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bofeb.sharepoint.com/sites/e-InvoicingBusinessExpertsGroup-Stuurgroep/Gedeelde%20documenten/Stuurgroep/Examples%20-%20Cases%20PeppolBisV3/TESTcase11%20-%207.b%20Invoice%20in%20USD%20and%20EUR%20vat%206%20and%2021.x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vbofeb.sharepoint.com/sites/e-InvoicingBusinessExpertsGroup-Stuurgroep/Gedeelde%20documenten/Stuurgroep/Examples%20-%20Cases%20PeppolBisV3/TESTcase11%20-%207.b%20Invoice%20in%20USD%20and%20EUR%20vat%206%20and%2021.pdf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bofeb.sharepoint.com/sites/e-InvoicingBusinessExpertsGroup-Stuurgroep/Gedeelde%20documenten/Stuurgroep/Examples%20-%20Cases%20PeppolBisV3/TESTcase10%20-%207.a%20Invoice%20in%20USD%20and%20EUR%20vat%2021.xm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4D5AB87AD34860B52E314069FB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2AA9-A30B-4704-BA54-157FEB69D739}"/>
      </w:docPartPr>
      <w:docPartBody>
        <w:p w:rsidR="007F13F4" w:rsidRDefault="00BA16B9" w:rsidP="00BA16B9">
          <w:pPr>
            <w:pStyle w:val="F84D5AB87AD34860B52E314069FBA88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B9"/>
    <w:rsid w:val="00272A95"/>
    <w:rsid w:val="00396A3C"/>
    <w:rsid w:val="004B0874"/>
    <w:rsid w:val="00735203"/>
    <w:rsid w:val="007F13F4"/>
    <w:rsid w:val="00AD3046"/>
    <w:rsid w:val="00B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4B2D3FBDEB44BCB7669E7F99CA7E44">
    <w:name w:val="8C4B2D3FBDEB44BCB7669E7F99CA7E44"/>
    <w:rsid w:val="00BA16B9"/>
  </w:style>
  <w:style w:type="paragraph" w:customStyle="1" w:styleId="F84D5AB87AD34860B52E314069FBA888">
    <w:name w:val="F84D5AB87AD34860B52E314069FBA888"/>
    <w:rsid w:val="00BA1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2020-08-20T00:00:00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A994BFC853A449CA96E8189CD54B4" ma:contentTypeVersion="2" ma:contentTypeDescription="Een nieuw document maken." ma:contentTypeScope="" ma:versionID="14a3ceefea2d44681b1dd3cf6b529d42">
  <xsd:schema xmlns:xsd="http://www.w3.org/2001/XMLSchema" xmlns:xs="http://www.w3.org/2001/XMLSchema" xmlns:p="http://schemas.microsoft.com/office/2006/metadata/properties" xmlns:ns2="1d3ad867-4f59-4860-b4aa-fe2a9718add9" targetNamespace="http://schemas.microsoft.com/office/2006/metadata/properties" ma:root="true" ma:fieldsID="b49e80df644e84941e82d7a5b9dfff2b" ns2:_="">
    <xsd:import namespace="1d3ad867-4f59-4860-b4aa-fe2a9718a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ad867-4f59-4860-b4aa-fe2a9718a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F25279-3D6F-4FBD-BF67-23556F7E3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61B32B-CE14-4B88-BBD3-538A24D90736}"/>
</file>

<file path=customXml/itemProps4.xml><?xml version="1.0" encoding="utf-8"?>
<ds:datastoreItem xmlns:ds="http://schemas.openxmlformats.org/officeDocument/2006/customXml" ds:itemID="{275EA25D-C8AC-404C-803F-D2856FAAA2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B8029C-B505-459A-B082-89C0DEFA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 exchange</vt:lpstr>
      <vt:lpstr/>
    </vt:vector>
  </TitlesOfParts>
  <Company/>
  <LinksUpToDate>false</LinksUpToDate>
  <CharactersWithSpaces>4494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https://gs1belgilux.sharepoint.com/sites/TeamEDI64/Gedeelde documenten/General/04 Cross industry/13 Manual PEPPOL BIS/Examples - library/UTESTcase55 - simple invoice containing the minimal legally requirted elements.xml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https://gs1belgilux.sharepoint.com/sites/TeamEDI64/Gedeelde documenten/General/04 Cross industry/13 Manual PEPPOL BIS/Examples - library/UTESTcase55 - simple invoice containing the minimal legally requirted elements.pdf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exchange</dc:title>
  <dc:subject/>
  <dc:creator>Dirk Willekens</dc:creator>
  <cp:keywords/>
  <dc:description/>
  <cp:lastModifiedBy>Johan Vernimme</cp:lastModifiedBy>
  <cp:revision>795</cp:revision>
  <cp:lastPrinted>2019-05-16T11:44:00Z</cp:lastPrinted>
  <dcterms:created xsi:type="dcterms:W3CDTF">2019-05-06T11:28:00Z</dcterms:created>
  <dcterms:modified xsi:type="dcterms:W3CDTF">2020-08-24T08:46:00Z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096">
    <vt:lpwstr>27</vt:lpwstr>
  </property>
  <property fmtid="{D5CDD505-2E9C-101B-9397-08002B2CF9AE}" pid="3" name="ContentTypeId">
    <vt:lpwstr>0x0101005B5A994BFC853A449CA96E8189CD54B4</vt:lpwstr>
  </property>
</Properties>
</file>